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43273878"/>
        <w:docPartObj>
          <w:docPartGallery w:val="Cover Pages"/>
          <w:docPartUnique/>
        </w:docPartObj>
      </w:sdtPr>
      <w:sdtEndPr>
        <w:rPr>
          <w:rFonts w:ascii="Times New Roman" w:eastAsia="Times New Roman" w:hAnsi="Times New Roman" w:cs="Times New Roman"/>
          <w:bCs/>
          <w:color w:val="252525"/>
          <w:sz w:val="24"/>
          <w:szCs w:val="24"/>
          <w:lang w:eastAsia="tr-TR"/>
        </w:rPr>
      </w:sdtEndPr>
      <w:sdtContent>
        <w:tbl>
          <w:tblPr>
            <w:tblpPr w:leftFromText="187" w:rightFromText="187" w:vertAnchor="page" w:horzAnchor="page" w:tblpYSpec="top"/>
            <w:tblW w:w="0" w:type="auto"/>
            <w:tblLook w:val="04A0" w:firstRow="1" w:lastRow="0" w:firstColumn="1" w:lastColumn="0" w:noHBand="0" w:noVBand="1"/>
          </w:tblPr>
          <w:tblGrid>
            <w:gridCol w:w="1440"/>
            <w:gridCol w:w="4116"/>
          </w:tblGrid>
          <w:tr w:rsidR="00C95B1F">
            <w:trPr>
              <w:trHeight w:val="1440"/>
            </w:trPr>
            <w:tc>
              <w:tcPr>
                <w:tcW w:w="1440" w:type="dxa"/>
                <w:tcBorders>
                  <w:right w:val="single" w:sz="4" w:space="0" w:color="FFFFFF" w:themeColor="background1"/>
                </w:tcBorders>
                <w:shd w:val="clear" w:color="auto" w:fill="943634" w:themeFill="accent2" w:themeFillShade="BF"/>
              </w:tcPr>
              <w:p w:rsidR="00C95B1F" w:rsidRDefault="00C95B1F"/>
            </w:tc>
            <w:sdt>
              <w:sdtPr>
                <w:rPr>
                  <w:rFonts w:asciiTheme="majorHAnsi" w:eastAsiaTheme="majorEastAsia" w:hAnsiTheme="majorHAnsi" w:cstheme="majorBidi"/>
                  <w:b/>
                  <w:bCs/>
                  <w:color w:val="FFFFFF" w:themeColor="background1"/>
                  <w:sz w:val="72"/>
                  <w:szCs w:val="72"/>
                </w:rPr>
                <w:alias w:val="Yıl"/>
                <w:id w:val="15676118"/>
                <w:placeholder>
                  <w:docPart w:val="648F1917B74D4B118860E3169F6E46A0"/>
                </w:placeholder>
                <w:dataBinding w:prefixMappings="xmlns:ns0='http://schemas.microsoft.com/office/2006/coverPageProps'" w:xpath="/ns0:CoverPageProperties[1]/ns0:PublishDate[1]" w:storeItemID="{55AF091B-3C7A-41E3-B477-F2FDAA23CFDA}"/>
                <w:date w:fullDate="2020-01-01T00:00:00Z">
                  <w:dateFormat w:val="yyyy"/>
                  <w:lid w:val="tr-TR"/>
                  <w:storeMappedDataAs w:val="dateTime"/>
                  <w:calendar w:val="gregorian"/>
                </w:date>
              </w:sdtPr>
              <w:sdtEndPr/>
              <w:sdtContent>
                <w:tc>
                  <w:tcPr>
                    <w:tcW w:w="2520" w:type="dxa"/>
                    <w:tcBorders>
                      <w:left w:val="single" w:sz="4" w:space="0" w:color="FFFFFF" w:themeColor="background1"/>
                    </w:tcBorders>
                    <w:shd w:val="clear" w:color="auto" w:fill="943634" w:themeFill="accent2" w:themeFillShade="BF"/>
                    <w:vAlign w:val="bottom"/>
                  </w:tcPr>
                  <w:p w:rsidR="00C95B1F" w:rsidRDefault="007C52A0" w:rsidP="00C95B1F">
                    <w:pPr>
                      <w:pStyle w:val="AralkYok"/>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2020</w:t>
                    </w:r>
                  </w:p>
                </w:tc>
              </w:sdtContent>
            </w:sdt>
          </w:tr>
          <w:tr w:rsidR="00C95B1F">
            <w:trPr>
              <w:trHeight w:val="2880"/>
            </w:trPr>
            <w:tc>
              <w:tcPr>
                <w:tcW w:w="1440" w:type="dxa"/>
                <w:tcBorders>
                  <w:right w:val="single" w:sz="4" w:space="0" w:color="000000" w:themeColor="text1"/>
                </w:tcBorders>
              </w:tcPr>
              <w:p w:rsidR="00C95B1F" w:rsidRDefault="00C95B1F"/>
            </w:tc>
            <w:tc>
              <w:tcPr>
                <w:tcW w:w="2520" w:type="dxa"/>
                <w:tcBorders>
                  <w:left w:val="single" w:sz="4" w:space="0" w:color="000000" w:themeColor="text1"/>
                </w:tcBorders>
                <w:vAlign w:val="center"/>
              </w:tcPr>
              <w:p w:rsidR="00C95B1F" w:rsidRDefault="00C23098">
                <w:pPr>
                  <w:pStyle w:val="AralkYok"/>
                  <w:rPr>
                    <w:color w:val="76923C" w:themeColor="accent3" w:themeShade="BF"/>
                  </w:rPr>
                </w:pPr>
                <w:r>
                  <w:rPr>
                    <w:noProof/>
                    <w:lang w:eastAsia="tr-TR"/>
                  </w:rPr>
                  <w:drawing>
                    <wp:inline distT="0" distB="0" distL="0" distR="0">
                      <wp:extent cx="2457450" cy="952500"/>
                      <wp:effectExtent l="19050" t="0" r="0" b="0"/>
                      <wp:docPr id="7" name="Resim 8" descr="C:\Users\USER\Desktop\logo en küçü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logo en küçük.jpg"/>
                              <pic:cNvPicPr>
                                <a:picLocks noChangeAspect="1" noChangeArrowheads="1"/>
                              </pic:cNvPicPr>
                            </pic:nvPicPr>
                            <pic:blipFill>
                              <a:blip r:embed="rId8" cstate="print"/>
                              <a:srcRect/>
                              <a:stretch>
                                <a:fillRect/>
                              </a:stretch>
                            </pic:blipFill>
                            <pic:spPr bwMode="auto">
                              <a:xfrm>
                                <a:off x="0" y="0"/>
                                <a:ext cx="2457450" cy="952500"/>
                              </a:xfrm>
                              <a:prstGeom prst="rect">
                                <a:avLst/>
                              </a:prstGeom>
                              <a:noFill/>
                              <a:ln w="9525">
                                <a:noFill/>
                                <a:miter lim="800000"/>
                                <a:headEnd/>
                                <a:tailEnd/>
                              </a:ln>
                            </pic:spPr>
                          </pic:pic>
                        </a:graphicData>
                      </a:graphic>
                    </wp:inline>
                  </w:drawing>
                </w:r>
              </w:p>
              <w:p w:rsidR="00C95B1F" w:rsidRDefault="00C95B1F">
                <w:pPr>
                  <w:pStyle w:val="AralkYok"/>
                  <w:rPr>
                    <w:color w:val="76923C" w:themeColor="accent3" w:themeShade="BF"/>
                  </w:rPr>
                </w:pPr>
              </w:p>
              <w:p w:rsidR="00C95B1F" w:rsidRDefault="00C95B1F">
                <w:pPr>
                  <w:pStyle w:val="AralkYok"/>
                  <w:rPr>
                    <w:color w:val="76923C" w:themeColor="accent3" w:themeShade="BF"/>
                  </w:rPr>
                </w:pPr>
              </w:p>
              <w:p w:rsidR="00C95B1F" w:rsidRDefault="00C95B1F">
                <w:pPr>
                  <w:pStyle w:val="AralkYok"/>
                  <w:rPr>
                    <w:color w:val="76923C" w:themeColor="accent3" w:themeShade="BF"/>
                  </w:rPr>
                </w:pPr>
              </w:p>
            </w:tc>
          </w:tr>
        </w:tbl>
        <w:p w:rsidR="00C95B1F" w:rsidRDefault="00C95B1F"/>
        <w:p w:rsidR="00C95B1F" w:rsidRDefault="00C95B1F"/>
        <w:tbl>
          <w:tblPr>
            <w:tblpPr w:leftFromText="187" w:rightFromText="187" w:horzAnchor="margin" w:tblpXSpec="center" w:tblpYSpec="bottom"/>
            <w:tblW w:w="5000" w:type="pct"/>
            <w:tblLook w:val="04A0" w:firstRow="1" w:lastRow="0" w:firstColumn="1" w:lastColumn="0" w:noHBand="0" w:noVBand="1"/>
          </w:tblPr>
          <w:tblGrid>
            <w:gridCol w:w="9072"/>
          </w:tblGrid>
          <w:tr w:rsidR="00C95B1F">
            <w:tc>
              <w:tcPr>
                <w:tcW w:w="0" w:type="auto"/>
              </w:tcPr>
              <w:p w:rsidR="00C95B1F" w:rsidRDefault="00C95B1F">
                <w:pPr>
                  <w:pStyle w:val="AralkYok"/>
                  <w:rPr>
                    <w:b/>
                    <w:bCs/>
                    <w:caps/>
                    <w:sz w:val="72"/>
                    <w:szCs w:val="72"/>
                  </w:rPr>
                </w:pPr>
                <w:r>
                  <w:rPr>
                    <w:b/>
                    <w:bCs/>
                    <w:caps/>
                    <w:color w:val="76923C" w:themeColor="accent3" w:themeShade="BF"/>
                    <w:sz w:val="72"/>
                    <w:szCs w:val="72"/>
                  </w:rPr>
                  <w:t>[</w:t>
                </w:r>
                <w:sdt>
                  <w:sdtPr>
                    <w:rPr>
                      <w:b/>
                      <w:bCs/>
                      <w:caps/>
                      <w:sz w:val="72"/>
                      <w:szCs w:val="72"/>
                    </w:rPr>
                    <w:alias w:val="Başlık"/>
                    <w:id w:val="15676137"/>
                    <w:placeholder>
                      <w:docPart w:val="508AE9739A3A4580BD2252D0B7009E00"/>
                    </w:placeholder>
                    <w:dataBinding w:prefixMappings="xmlns:ns0='http://schemas.openxmlformats.org/package/2006/metadata/core-properties' xmlns:ns1='http://purl.org/dc/elements/1.1/'" w:xpath="/ns0:coreProperties[1]/ns1:title[1]" w:storeItemID="{6C3C8BC8-F283-45AE-878A-BAB7291924A1}"/>
                    <w:text/>
                  </w:sdtPr>
                  <w:sdtEndPr/>
                  <w:sdtContent>
                    <w:r w:rsidR="00F6700D">
                      <w:rPr>
                        <w:b/>
                        <w:bCs/>
                        <w:caps/>
                        <w:sz w:val="72"/>
                        <w:szCs w:val="72"/>
                      </w:rPr>
                      <w:t>SİGORTA ACENTELİĞİ</w:t>
                    </w:r>
                  </w:sdtContent>
                </w:sdt>
                <w:r>
                  <w:rPr>
                    <w:b/>
                    <w:bCs/>
                    <w:caps/>
                    <w:color w:val="76923C" w:themeColor="accent3" w:themeShade="BF"/>
                    <w:sz w:val="72"/>
                    <w:szCs w:val="72"/>
                  </w:rPr>
                  <w:t>]</w:t>
                </w:r>
              </w:p>
            </w:tc>
          </w:tr>
          <w:tr w:rsidR="00C95B1F">
            <w:tc>
              <w:tcPr>
                <w:tcW w:w="0" w:type="auto"/>
              </w:tcPr>
              <w:p w:rsidR="00C95B1F" w:rsidRDefault="00C95B1F">
                <w:pPr>
                  <w:pStyle w:val="AralkYok"/>
                  <w:rPr>
                    <w:color w:val="7F7F7F" w:themeColor="background1" w:themeShade="7F"/>
                  </w:rPr>
                </w:pPr>
              </w:p>
            </w:tc>
          </w:tr>
        </w:tbl>
        <w:p w:rsidR="00C95B1F" w:rsidRDefault="00C95B1F"/>
        <w:p w:rsidR="00C95B1F" w:rsidRDefault="00C95B1F">
          <w:pPr>
            <w:rPr>
              <w:rFonts w:ascii="Times New Roman" w:eastAsia="Times New Roman" w:hAnsi="Times New Roman" w:cs="Times New Roman"/>
              <w:bCs/>
              <w:color w:val="252525"/>
              <w:sz w:val="24"/>
              <w:szCs w:val="24"/>
              <w:lang w:eastAsia="tr-TR"/>
            </w:rPr>
          </w:pPr>
          <w:r>
            <w:rPr>
              <w:noProof/>
              <w:lang w:eastAsia="tr-TR"/>
            </w:rPr>
            <w:drawing>
              <wp:anchor distT="0" distB="0" distL="114300" distR="114300" simplePos="0" relativeHeight="251658240" behindDoc="0" locked="0" layoutInCell="1" allowOverlap="1">
                <wp:simplePos x="2590800" y="1866900"/>
                <wp:positionH relativeFrom="margin">
                  <wp:align>center</wp:align>
                </wp:positionH>
                <wp:positionV relativeFrom="margin">
                  <wp:align>center</wp:align>
                </wp:positionV>
                <wp:extent cx="5762625" cy="4324350"/>
                <wp:effectExtent l="19050" t="0" r="9525" b="0"/>
                <wp:wrapSquare wrapText="bothSides"/>
                <wp:docPr id="6" name="Resim 6" descr="sigorta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orta ile ilgili görsel sonucu"/>
                        <pic:cNvPicPr>
                          <a:picLocks noChangeAspect="1" noChangeArrowheads="1"/>
                        </pic:cNvPicPr>
                      </pic:nvPicPr>
                      <pic:blipFill>
                        <a:blip r:embed="rId9" cstate="print"/>
                        <a:srcRect/>
                        <a:stretch>
                          <a:fillRect/>
                        </a:stretch>
                      </pic:blipFill>
                      <pic:spPr bwMode="auto">
                        <a:xfrm>
                          <a:off x="0" y="0"/>
                          <a:ext cx="5762625" cy="4324350"/>
                        </a:xfrm>
                        <a:prstGeom prst="rect">
                          <a:avLst/>
                        </a:prstGeom>
                        <a:noFill/>
                        <a:ln w="9525">
                          <a:noFill/>
                          <a:miter lim="800000"/>
                          <a:headEnd/>
                          <a:tailEnd/>
                        </a:ln>
                      </pic:spPr>
                    </pic:pic>
                  </a:graphicData>
                </a:graphic>
              </wp:anchor>
            </w:drawing>
          </w:r>
          <w:r>
            <w:rPr>
              <w:rFonts w:ascii="Times New Roman" w:eastAsia="Times New Roman" w:hAnsi="Times New Roman" w:cs="Times New Roman"/>
              <w:bCs/>
              <w:color w:val="252525"/>
              <w:sz w:val="24"/>
              <w:szCs w:val="24"/>
              <w:lang w:eastAsia="tr-TR"/>
            </w:rPr>
            <w:br w:type="page"/>
          </w:r>
        </w:p>
        <w:bookmarkStart w:id="0" w:name="_GoBack" w:displacedByCustomXml="next"/>
        <w:bookmarkEnd w:id="0" w:displacedByCustomXml="next"/>
      </w:sdtContent>
    </w:sdt>
    <w:p w:rsidR="00E11C02" w:rsidRPr="00C95B1F" w:rsidRDefault="00E11C02">
      <w:pPr>
        <w:rPr>
          <w:b/>
          <w:sz w:val="24"/>
          <w:szCs w:val="24"/>
        </w:rPr>
      </w:pPr>
      <w:r w:rsidRPr="00C95B1F">
        <w:rPr>
          <w:b/>
          <w:sz w:val="24"/>
          <w:szCs w:val="24"/>
        </w:rPr>
        <w:lastRenderedPageBreak/>
        <w:t>SİGORTA NEDİR?</w:t>
      </w:r>
    </w:p>
    <w:p w:rsidR="00E11C02" w:rsidRPr="00C95B1F" w:rsidRDefault="00E11C02" w:rsidP="00E11C02">
      <w:pPr>
        <w:pStyle w:val="NormalWeb"/>
        <w:shd w:val="clear" w:color="auto" w:fill="FFFFFF"/>
        <w:spacing w:before="120" w:beforeAutospacing="0" w:after="120" w:afterAutospacing="0"/>
        <w:jc w:val="both"/>
        <w:rPr>
          <w:color w:val="252525"/>
        </w:rPr>
      </w:pPr>
      <w:r w:rsidRPr="00C95B1F">
        <w:rPr>
          <w:bCs/>
          <w:color w:val="252525"/>
        </w:rPr>
        <w:t>Sigorta</w:t>
      </w:r>
      <w:r w:rsidRPr="00C95B1F">
        <w:rPr>
          <w:color w:val="252525"/>
        </w:rPr>
        <w:t>,</w:t>
      </w:r>
      <w:r w:rsidRPr="00C95B1F">
        <w:rPr>
          <w:rStyle w:val="apple-converted-space"/>
          <w:color w:val="252525"/>
        </w:rPr>
        <w:t>  risklerin g</w:t>
      </w:r>
      <w:r w:rsidRPr="00C95B1F">
        <w:rPr>
          <w:color w:val="252525"/>
        </w:rPr>
        <w:t>erçekleşmesi sonucu doğabilecek zararları gidermek için kullanılan mali araçtır.</w:t>
      </w:r>
      <w:r w:rsidRPr="00C95B1F">
        <w:rPr>
          <w:rStyle w:val="apple-converted-space"/>
          <w:color w:val="252525"/>
        </w:rPr>
        <w:t> </w:t>
      </w:r>
      <w:r w:rsidRPr="00C95B1F">
        <w:rPr>
          <w:bCs/>
          <w:color w:val="252525"/>
        </w:rPr>
        <w:t>Sigorta sözleşmesi</w:t>
      </w:r>
      <w:r w:rsidRPr="00C95B1F">
        <w:rPr>
          <w:color w:val="252525"/>
        </w:rPr>
        <w:t>, sigorta yapılması için hukuken gerekli sözleşmedir.</w:t>
      </w:r>
      <w:r w:rsidRPr="00C95B1F">
        <w:rPr>
          <w:rStyle w:val="apple-converted-space"/>
          <w:color w:val="252525"/>
        </w:rPr>
        <w:t> </w:t>
      </w:r>
      <w:r w:rsidRPr="00C95B1F">
        <w:rPr>
          <w:bCs/>
          <w:color w:val="252525"/>
        </w:rPr>
        <w:t>Sigorta şirketi</w:t>
      </w:r>
      <w:r w:rsidRPr="00C95B1F">
        <w:rPr>
          <w:color w:val="252525"/>
        </w:rPr>
        <w:t>, sigorta işlerinin yönetilmesi, işletilmesi, satışı ile ilgilenen şirkettir.</w:t>
      </w:r>
      <w:r w:rsidRPr="00C95B1F">
        <w:rPr>
          <w:rStyle w:val="apple-converted-space"/>
          <w:color w:val="252525"/>
        </w:rPr>
        <w:t> </w:t>
      </w:r>
      <w:r w:rsidRPr="00C95B1F">
        <w:rPr>
          <w:bCs/>
          <w:color w:val="252525"/>
        </w:rPr>
        <w:t>Sigortacılık</w:t>
      </w:r>
      <w:r w:rsidRPr="00C95B1F">
        <w:rPr>
          <w:color w:val="252525"/>
        </w:rPr>
        <w:t>, bu işlerle ilgilenen meslektir.</w:t>
      </w:r>
    </w:p>
    <w:p w:rsidR="00E11C02" w:rsidRPr="00C95B1F" w:rsidRDefault="00E11C02" w:rsidP="00E11C02">
      <w:pPr>
        <w:pStyle w:val="NormalWeb"/>
        <w:shd w:val="clear" w:color="auto" w:fill="FFFFFF"/>
        <w:spacing w:before="120" w:beforeAutospacing="0" w:after="120" w:afterAutospacing="0"/>
        <w:jc w:val="both"/>
        <w:rPr>
          <w:color w:val="252525"/>
        </w:rPr>
      </w:pPr>
      <w:r w:rsidRPr="00C95B1F">
        <w:rPr>
          <w:color w:val="252525"/>
        </w:rPr>
        <w:t>İnsanların tüm varlık ve girişimleri risk (riziko) adı verilen belirsizliklerin tehdidi altındadır. Sigorta, risklerin gerçekleşmesi halinde doğan zararı karşılar, böylece geleceğin maddi açıdan belirli hale gelmesini sağlar. Sigorta kişi ve kurumlara güven sağlar, böylece geleceğin planlanmasını mümkün kılar, girişimciliği teşvik eder.</w:t>
      </w:r>
    </w:p>
    <w:p w:rsidR="00E11C02" w:rsidRPr="00C95B1F" w:rsidRDefault="00E11C02">
      <w:pPr>
        <w:rPr>
          <w:b/>
          <w:sz w:val="24"/>
          <w:szCs w:val="24"/>
        </w:rPr>
      </w:pPr>
      <w:r w:rsidRPr="00C95B1F">
        <w:rPr>
          <w:b/>
          <w:sz w:val="24"/>
          <w:szCs w:val="24"/>
        </w:rPr>
        <w:t>SİGORTA NASIL İŞLER?</w:t>
      </w:r>
    </w:p>
    <w:p w:rsidR="00E11C02" w:rsidRPr="00C95B1F" w:rsidRDefault="00E11C02" w:rsidP="00E11C02">
      <w:pPr>
        <w:shd w:val="clear" w:color="auto" w:fill="FFFFFF"/>
        <w:spacing w:before="120" w:after="120" w:line="240" w:lineRule="auto"/>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Sigorta, temelde, benzer riske maruz kalan kişilerin (sigortalılar) maddi güçlerini birleştirerek yardımlaşmasıdır. Sigorta şirketlerinin işlevi, bu kişilerin birbirlerini bulmasını ve gerçekleşen zararların giderilmesini organize etmektir.</w:t>
      </w:r>
    </w:p>
    <w:p w:rsidR="00E11C02" w:rsidRPr="00C95B1F" w:rsidRDefault="00E11C02" w:rsidP="00E11C02">
      <w:pPr>
        <w:shd w:val="clear" w:color="auto" w:fill="FFFFFF"/>
        <w:spacing w:before="120" w:after="120" w:line="240" w:lineRule="auto"/>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Aynı riske maruz kalan kişiler bir araya gelerek gerçekleşen riskleri hep birlikte karşıladıklarında, kişi başına düşen ödeme miktarı düştüğünden büyük bir risk bile herkes için karşılanabilir hale gelebilir. Bir araya gelen kişi sayısı ne kadar fazla olursa, kişi başına düşen zarar miktarı o kadar tahmin edilebilir hale gelir. Olasılık hesaplarında </w:t>
      </w:r>
      <w:hyperlink r:id="rId10" w:tooltip="Büyük adetler kanunu (sayfa mevcut değil)" w:history="1">
        <w:r w:rsidRPr="00C95B1F">
          <w:rPr>
            <w:rFonts w:ascii="Times New Roman" w:eastAsia="Times New Roman" w:hAnsi="Times New Roman" w:cs="Times New Roman"/>
            <w:bCs/>
            <w:color w:val="252525"/>
            <w:sz w:val="24"/>
            <w:szCs w:val="24"/>
            <w:lang w:eastAsia="tr-TR"/>
          </w:rPr>
          <w:t>büyük adetler kanunu</w:t>
        </w:r>
      </w:hyperlink>
      <w:r w:rsidRPr="00C95B1F">
        <w:rPr>
          <w:rFonts w:ascii="Times New Roman" w:eastAsia="Times New Roman" w:hAnsi="Times New Roman" w:cs="Times New Roman"/>
          <w:bCs/>
          <w:color w:val="252525"/>
          <w:sz w:val="24"/>
          <w:szCs w:val="24"/>
          <w:lang w:eastAsia="tr-TR"/>
        </w:rPr>
        <w:t> (veya büyük sayılar kanunu) adı verilen kanuna göre, aynı riske konu olan kıymetlerin sayısı ne kadar fazla olursa, gerçekleşecek hasar, riskin oluşma ihtimaline o denli yakın olacaktır.</w:t>
      </w:r>
    </w:p>
    <w:p w:rsidR="00E11C02" w:rsidRPr="00C95B1F" w:rsidRDefault="00E11C02" w:rsidP="00E11C02">
      <w:pPr>
        <w:shd w:val="clear" w:color="auto" w:fill="FFFFFF"/>
        <w:spacing w:before="120" w:after="120" w:line="240" w:lineRule="auto"/>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Bir sigorta şirketinin organizasyonu altında bir araya gelen sigortalılar gelecekteki hasarları karşılamak için prim adı verilen ücreti öderler. Prim tutarına, hasarlar için yapılacak ödemelerin yanı sıra, sigorta şirketinin işletme masrafları, kârı, vergiler, </w:t>
      </w:r>
      <w:hyperlink r:id="rId11" w:tooltip="Acente" w:history="1">
        <w:r w:rsidRPr="00C95B1F">
          <w:rPr>
            <w:rFonts w:ascii="Times New Roman" w:eastAsia="Times New Roman" w:hAnsi="Times New Roman" w:cs="Times New Roman"/>
            <w:bCs/>
            <w:color w:val="252525"/>
            <w:sz w:val="24"/>
            <w:szCs w:val="24"/>
            <w:lang w:eastAsia="tr-TR"/>
          </w:rPr>
          <w:t>acente</w:t>
        </w:r>
      </w:hyperlink>
      <w:r w:rsidRPr="00C95B1F">
        <w:rPr>
          <w:rFonts w:ascii="Times New Roman" w:eastAsia="Times New Roman" w:hAnsi="Times New Roman" w:cs="Times New Roman"/>
          <w:bCs/>
          <w:color w:val="252525"/>
          <w:sz w:val="24"/>
          <w:szCs w:val="24"/>
          <w:lang w:eastAsia="tr-TR"/>
        </w:rPr>
        <w:t> komisyonları gibi kalemler de dâhildir.</w:t>
      </w:r>
    </w:p>
    <w:p w:rsidR="00E11C02" w:rsidRPr="00C95B1F" w:rsidRDefault="00E11C02" w:rsidP="00E11C02">
      <w:pPr>
        <w:shd w:val="clear" w:color="auto" w:fill="FFFFFF"/>
        <w:spacing w:before="120" w:after="120" w:line="240" w:lineRule="auto"/>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Sigorta, öngörülemez ve maddi zarar doğuracak olaylara (yani risklere) karşı yapılır. Ne zaman olacağı önceden bilinen olaylara karşı sigorta yapılmaz. Kumar, hisse senedi alım-satımı gibi spekületif riskler ve kanuna aykırı olarak yapılan işler sigortalanamaz. Keza, kanunlardan kaynaklanan cezalara karşı sigorta olmaz.</w:t>
      </w:r>
    </w:p>
    <w:p w:rsidR="00E11C02" w:rsidRPr="00C95B1F" w:rsidRDefault="00E11C02" w:rsidP="00E11C02">
      <w:pPr>
        <w:shd w:val="clear" w:color="auto" w:fill="FFFFFF"/>
        <w:spacing w:before="120" w:after="120" w:line="240" w:lineRule="auto"/>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Sigorta teminatının işlemeye başlaması için sigortalı ile sigorta şirketi arasında sigorta sözleşmesi yapılır. </w:t>
      </w:r>
      <w:hyperlink r:id="rId12" w:tooltip="Poliçe" w:history="1">
        <w:r w:rsidRPr="00C95B1F">
          <w:rPr>
            <w:rFonts w:ascii="Times New Roman" w:eastAsia="Times New Roman" w:hAnsi="Times New Roman" w:cs="Times New Roman"/>
            <w:bCs/>
            <w:color w:val="252525"/>
            <w:sz w:val="24"/>
            <w:szCs w:val="24"/>
            <w:lang w:eastAsia="tr-TR"/>
          </w:rPr>
          <w:t>Poliçe</w:t>
        </w:r>
      </w:hyperlink>
      <w:r w:rsidRPr="00C95B1F">
        <w:rPr>
          <w:rFonts w:ascii="Times New Roman" w:eastAsia="Times New Roman" w:hAnsi="Times New Roman" w:cs="Times New Roman"/>
          <w:bCs/>
          <w:color w:val="252525"/>
          <w:sz w:val="24"/>
          <w:szCs w:val="24"/>
          <w:lang w:eastAsia="tr-TR"/>
        </w:rPr>
        <w:t>, sigorta sözleşmesinin koşullarını içeren ve ispatlayan belgedir. Poliçe üzerinde sigorta şirketinin unvanı, adresi, sigortalının adı, riskle ilgili bilgiler, prim, sigorta başlangıç ve bitiş tarihleri, sigorta koşulları vs. yer alır.</w:t>
      </w:r>
    </w:p>
    <w:p w:rsidR="00E11C02" w:rsidRPr="00C95B1F" w:rsidRDefault="00E11C02" w:rsidP="00E11C02">
      <w:pPr>
        <w:shd w:val="clear" w:color="auto" w:fill="FFFFFF"/>
        <w:spacing w:before="120" w:after="120" w:line="240" w:lineRule="auto"/>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Sigorta satışları bazen doğrudan sigorta şirketleri tarafından yapılmakla birlikte, genellikle </w:t>
      </w:r>
      <w:hyperlink r:id="rId13" w:tooltip="Sigorta aracıları (sayfa mevcut değil)" w:history="1">
        <w:r w:rsidRPr="00C95B1F">
          <w:rPr>
            <w:rFonts w:ascii="Times New Roman" w:eastAsia="Times New Roman" w:hAnsi="Times New Roman" w:cs="Times New Roman"/>
            <w:bCs/>
            <w:color w:val="252525"/>
            <w:sz w:val="24"/>
            <w:szCs w:val="24"/>
            <w:lang w:eastAsia="tr-TR"/>
          </w:rPr>
          <w:t>sigorta aracıları</w:t>
        </w:r>
      </w:hyperlink>
      <w:r w:rsidRPr="00C95B1F">
        <w:rPr>
          <w:rFonts w:ascii="Times New Roman" w:eastAsia="Times New Roman" w:hAnsi="Times New Roman" w:cs="Times New Roman"/>
          <w:bCs/>
          <w:color w:val="252525"/>
          <w:sz w:val="24"/>
          <w:szCs w:val="24"/>
          <w:lang w:eastAsia="tr-TR"/>
        </w:rPr>
        <w:t> tarafından yapılır. Sigorta aracıları belli bir sigorta şirketine bağlı çalışan </w:t>
      </w:r>
      <w:hyperlink r:id="rId14" w:tooltip="Acente" w:history="1">
        <w:r w:rsidRPr="00C95B1F">
          <w:rPr>
            <w:rFonts w:ascii="Times New Roman" w:eastAsia="Times New Roman" w:hAnsi="Times New Roman" w:cs="Times New Roman"/>
            <w:bCs/>
            <w:color w:val="252525"/>
            <w:sz w:val="24"/>
            <w:szCs w:val="24"/>
            <w:lang w:eastAsia="tr-TR"/>
          </w:rPr>
          <w:t>acenteler</w:t>
        </w:r>
      </w:hyperlink>
      <w:r w:rsidRPr="00C95B1F">
        <w:rPr>
          <w:rFonts w:ascii="Times New Roman" w:eastAsia="Times New Roman" w:hAnsi="Times New Roman" w:cs="Times New Roman"/>
          <w:bCs/>
          <w:color w:val="252525"/>
          <w:sz w:val="24"/>
          <w:szCs w:val="24"/>
          <w:lang w:eastAsia="tr-TR"/>
        </w:rPr>
        <w:t> ve sigorta şirketlerinden bağımsız çalışan </w:t>
      </w:r>
      <w:hyperlink r:id="rId15" w:tooltip="Sigorta brokeri (sayfa mevcut değil)" w:history="1">
        <w:r w:rsidRPr="00C95B1F">
          <w:rPr>
            <w:rFonts w:ascii="Times New Roman" w:eastAsia="Times New Roman" w:hAnsi="Times New Roman" w:cs="Times New Roman"/>
            <w:bCs/>
            <w:color w:val="252525"/>
            <w:sz w:val="24"/>
            <w:szCs w:val="24"/>
            <w:lang w:eastAsia="tr-TR"/>
          </w:rPr>
          <w:t>sigorta brokerleridir</w:t>
        </w:r>
      </w:hyperlink>
      <w:r w:rsidRPr="00C95B1F">
        <w:rPr>
          <w:rFonts w:ascii="Times New Roman" w:eastAsia="Times New Roman" w:hAnsi="Times New Roman" w:cs="Times New Roman"/>
          <w:bCs/>
          <w:color w:val="252525"/>
          <w:sz w:val="24"/>
          <w:szCs w:val="24"/>
          <w:lang w:eastAsia="tr-TR"/>
        </w:rPr>
        <w:t>. Aracıların başlıca görevleri, sigorta müşterisini riskler ve buna uygun çözümler hakkında bilinçlendirmek, prim ödemelerini, hasarların tazmin edilmesini ve poliçenin yenilenmesini takip etmek, gerektiğinde hatırlatmada bulunmaktır. Prim tahsil etme yetkisi bulunan acenteler, müşterilerden aldıkları primleri sigorta şirketine öderler. Bu hizmetlerine karşılık aracılar </w:t>
      </w:r>
      <w:hyperlink r:id="rId16" w:tooltip="Komisyon (sayfa mevcut değil)" w:history="1">
        <w:r w:rsidRPr="00C95B1F">
          <w:rPr>
            <w:rFonts w:ascii="Times New Roman" w:eastAsia="Times New Roman" w:hAnsi="Times New Roman" w:cs="Times New Roman"/>
            <w:bCs/>
            <w:color w:val="252525"/>
            <w:sz w:val="24"/>
            <w:szCs w:val="24"/>
            <w:lang w:eastAsia="tr-TR"/>
          </w:rPr>
          <w:t>komisyon</w:t>
        </w:r>
      </w:hyperlink>
      <w:r w:rsidRPr="00C95B1F">
        <w:rPr>
          <w:rFonts w:ascii="Times New Roman" w:eastAsia="Times New Roman" w:hAnsi="Times New Roman" w:cs="Times New Roman"/>
          <w:bCs/>
          <w:color w:val="252525"/>
          <w:sz w:val="24"/>
          <w:szCs w:val="24"/>
          <w:lang w:eastAsia="tr-TR"/>
        </w:rPr>
        <w:t> alırlar. Komisyon genellikle prim tutarına dâhil edilir.</w:t>
      </w:r>
    </w:p>
    <w:p w:rsidR="00E11C02" w:rsidRPr="00C95B1F" w:rsidRDefault="00E11C02" w:rsidP="00E11C02">
      <w:pPr>
        <w:shd w:val="clear" w:color="auto" w:fill="FFFFFF"/>
        <w:spacing w:before="120" w:after="120" w:line="240" w:lineRule="auto"/>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Sigorta edilmiş bir riskin gördüğü zarara </w:t>
      </w:r>
      <w:hyperlink r:id="rId17" w:tooltip="Hasar (sayfa mevcut değil)" w:history="1">
        <w:r w:rsidRPr="00C95B1F">
          <w:rPr>
            <w:rFonts w:ascii="Times New Roman" w:eastAsia="Times New Roman" w:hAnsi="Times New Roman" w:cs="Times New Roman"/>
            <w:bCs/>
            <w:color w:val="252525"/>
            <w:sz w:val="24"/>
            <w:szCs w:val="24"/>
            <w:lang w:eastAsia="tr-TR"/>
          </w:rPr>
          <w:t>hasar</w:t>
        </w:r>
      </w:hyperlink>
      <w:r w:rsidRPr="00C95B1F">
        <w:rPr>
          <w:rFonts w:ascii="Times New Roman" w:eastAsia="Times New Roman" w:hAnsi="Times New Roman" w:cs="Times New Roman"/>
          <w:bCs/>
          <w:color w:val="252525"/>
          <w:sz w:val="24"/>
          <w:szCs w:val="24"/>
          <w:lang w:eastAsia="tr-TR"/>
        </w:rPr>
        <w:t> denir. Bir hasar gerçekleştiğinde, sigortalı, sigorta şirketinde </w:t>
      </w:r>
      <w:hyperlink r:id="rId18" w:tooltip="İhbar (sayfa mevcut değil)" w:history="1">
        <w:r w:rsidRPr="00C95B1F">
          <w:rPr>
            <w:rFonts w:ascii="Times New Roman" w:eastAsia="Times New Roman" w:hAnsi="Times New Roman" w:cs="Times New Roman"/>
            <w:bCs/>
            <w:color w:val="252525"/>
            <w:sz w:val="24"/>
            <w:szCs w:val="24"/>
            <w:lang w:eastAsia="tr-TR"/>
          </w:rPr>
          <w:t>ihbarda</w:t>
        </w:r>
      </w:hyperlink>
      <w:r w:rsidRPr="00C95B1F">
        <w:rPr>
          <w:rFonts w:ascii="Times New Roman" w:eastAsia="Times New Roman" w:hAnsi="Times New Roman" w:cs="Times New Roman"/>
          <w:bCs/>
          <w:color w:val="252525"/>
          <w:sz w:val="24"/>
          <w:szCs w:val="24"/>
          <w:lang w:eastAsia="tr-TR"/>
        </w:rPr>
        <w:t> bulunur. Sigorta şirketi, hasarı kendisinden bağımsız bir </w:t>
      </w:r>
      <w:hyperlink r:id="rId19" w:tooltip="Eksper" w:history="1">
        <w:r w:rsidRPr="00C95B1F">
          <w:rPr>
            <w:rFonts w:ascii="Times New Roman" w:eastAsia="Times New Roman" w:hAnsi="Times New Roman" w:cs="Times New Roman"/>
            <w:bCs/>
            <w:color w:val="252525"/>
            <w:sz w:val="24"/>
            <w:szCs w:val="24"/>
            <w:lang w:eastAsia="tr-TR"/>
          </w:rPr>
          <w:t>eksperin</w:t>
        </w:r>
      </w:hyperlink>
      <w:r w:rsidRPr="00C95B1F">
        <w:rPr>
          <w:rFonts w:ascii="Times New Roman" w:eastAsia="Times New Roman" w:hAnsi="Times New Roman" w:cs="Times New Roman"/>
          <w:bCs/>
          <w:color w:val="252525"/>
          <w:sz w:val="24"/>
          <w:szCs w:val="24"/>
          <w:lang w:eastAsia="tr-TR"/>
        </w:rPr>
        <w:t> incelemesini sağlar. Daha sonra eksper raporunu inceleyerek, sigorta teminatı içindeki zararı tazmin eder, sigortalıya </w:t>
      </w:r>
      <w:hyperlink r:id="rId20" w:tooltip="Tazminat" w:history="1">
        <w:r w:rsidRPr="00C95B1F">
          <w:rPr>
            <w:rFonts w:ascii="Times New Roman" w:eastAsia="Times New Roman" w:hAnsi="Times New Roman" w:cs="Times New Roman"/>
            <w:bCs/>
            <w:color w:val="252525"/>
            <w:sz w:val="24"/>
            <w:szCs w:val="24"/>
            <w:lang w:eastAsia="tr-TR"/>
          </w:rPr>
          <w:t>tazminat</w:t>
        </w:r>
      </w:hyperlink>
      <w:r w:rsidRPr="00C95B1F">
        <w:rPr>
          <w:rFonts w:ascii="Times New Roman" w:eastAsia="Times New Roman" w:hAnsi="Times New Roman" w:cs="Times New Roman"/>
          <w:bCs/>
          <w:color w:val="252525"/>
          <w:sz w:val="24"/>
          <w:szCs w:val="24"/>
          <w:lang w:eastAsia="tr-TR"/>
        </w:rPr>
        <w:t> öder.</w:t>
      </w:r>
    </w:p>
    <w:p w:rsidR="00E11C02" w:rsidRPr="00C95B1F" w:rsidRDefault="00E11C02" w:rsidP="00E11C02">
      <w:pPr>
        <w:shd w:val="clear" w:color="auto" w:fill="FFFFFF"/>
        <w:spacing w:before="120" w:after="120" w:line="240" w:lineRule="auto"/>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lastRenderedPageBreak/>
        <w:t>Can sigortalarında ve bedeni hasarlarda ise tazminat, </w:t>
      </w:r>
      <w:hyperlink r:id="rId21" w:tooltip="Aktüer" w:history="1">
        <w:r w:rsidRPr="00C95B1F">
          <w:rPr>
            <w:rFonts w:ascii="Times New Roman" w:eastAsia="Times New Roman" w:hAnsi="Times New Roman" w:cs="Times New Roman"/>
            <w:bCs/>
            <w:color w:val="252525"/>
            <w:sz w:val="24"/>
            <w:szCs w:val="24"/>
            <w:lang w:eastAsia="tr-TR"/>
          </w:rPr>
          <w:t>aktüer</w:t>
        </w:r>
      </w:hyperlink>
      <w:r w:rsidRPr="00C95B1F">
        <w:rPr>
          <w:rFonts w:ascii="Times New Roman" w:eastAsia="Times New Roman" w:hAnsi="Times New Roman" w:cs="Times New Roman"/>
          <w:bCs/>
          <w:color w:val="252525"/>
          <w:sz w:val="24"/>
          <w:szCs w:val="24"/>
          <w:lang w:eastAsia="tr-TR"/>
        </w:rPr>
        <w:t> denilen uzmanların yaptığı </w:t>
      </w:r>
      <w:hyperlink r:id="rId22" w:tooltip="Aktüerya" w:history="1">
        <w:r w:rsidRPr="00C95B1F">
          <w:rPr>
            <w:rFonts w:ascii="Times New Roman" w:eastAsia="Times New Roman" w:hAnsi="Times New Roman" w:cs="Times New Roman"/>
            <w:bCs/>
            <w:color w:val="252525"/>
            <w:sz w:val="24"/>
            <w:szCs w:val="24"/>
            <w:lang w:eastAsia="tr-TR"/>
          </w:rPr>
          <w:t>aktüerya</w:t>
        </w:r>
      </w:hyperlink>
      <w:r w:rsidRPr="00C95B1F">
        <w:rPr>
          <w:rFonts w:ascii="Times New Roman" w:eastAsia="Times New Roman" w:hAnsi="Times New Roman" w:cs="Times New Roman"/>
          <w:bCs/>
          <w:color w:val="252525"/>
          <w:sz w:val="24"/>
          <w:szCs w:val="24"/>
          <w:lang w:eastAsia="tr-TR"/>
        </w:rPr>
        <w:t> hesaplarının sonucuna göre ödenir.</w:t>
      </w:r>
    </w:p>
    <w:p w:rsidR="00E11C02" w:rsidRPr="00C95B1F" w:rsidRDefault="00E11C02" w:rsidP="00E11C02">
      <w:pPr>
        <w:shd w:val="clear" w:color="auto" w:fill="FFFFFF"/>
        <w:spacing w:before="120" w:after="120" w:line="240" w:lineRule="auto"/>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Eğer bir hasar üçüncü bir şahsın kusuru sonucu oluşmuşsa ve sigortalının o şahıstan tazminat talep etme hakkı veya daha başka hakları doğduysa, </w:t>
      </w:r>
      <w:hyperlink r:id="rId23" w:tooltip="Halefiyet (sayfa mevcut değil)" w:history="1">
        <w:r w:rsidRPr="00C95B1F">
          <w:rPr>
            <w:rFonts w:ascii="Times New Roman" w:eastAsia="Times New Roman" w:hAnsi="Times New Roman" w:cs="Times New Roman"/>
            <w:bCs/>
            <w:color w:val="252525"/>
            <w:sz w:val="24"/>
            <w:szCs w:val="24"/>
            <w:lang w:eastAsia="tr-TR"/>
          </w:rPr>
          <w:t>halefiyet</w:t>
        </w:r>
      </w:hyperlink>
      <w:r w:rsidRPr="00C95B1F">
        <w:rPr>
          <w:rFonts w:ascii="Times New Roman" w:eastAsia="Times New Roman" w:hAnsi="Times New Roman" w:cs="Times New Roman"/>
          <w:bCs/>
          <w:color w:val="252525"/>
          <w:sz w:val="24"/>
          <w:szCs w:val="24"/>
          <w:lang w:eastAsia="tr-TR"/>
        </w:rPr>
        <w:t> denilen hukuki ilke uyarınca bu haklar ödediği hasar oranında sigorta şirketine geçer. Sigorta şirketinin bu hakkını kullanarak kusurlu taraftan tazminat talep etmesine </w:t>
      </w:r>
      <w:hyperlink r:id="rId24" w:tooltip="Rücu" w:history="1">
        <w:r w:rsidRPr="00C95B1F">
          <w:rPr>
            <w:rFonts w:ascii="Times New Roman" w:eastAsia="Times New Roman" w:hAnsi="Times New Roman" w:cs="Times New Roman"/>
            <w:bCs/>
            <w:color w:val="252525"/>
            <w:sz w:val="24"/>
            <w:szCs w:val="24"/>
            <w:lang w:eastAsia="tr-TR"/>
          </w:rPr>
          <w:t>rücu</w:t>
        </w:r>
      </w:hyperlink>
      <w:r w:rsidRPr="00C95B1F">
        <w:rPr>
          <w:rFonts w:ascii="Times New Roman" w:eastAsia="Times New Roman" w:hAnsi="Times New Roman" w:cs="Times New Roman"/>
          <w:bCs/>
          <w:color w:val="252525"/>
          <w:sz w:val="24"/>
          <w:szCs w:val="24"/>
          <w:lang w:eastAsia="tr-TR"/>
        </w:rPr>
        <w:t> adı verilir. Örneğin, A ve B araçlarının karıştığı bir kazada, B aracı kusurlu ise, A'nın sigortacısı önce A'ya tazminat öder, daha sonra, ödediği tazminatı B'den talep edebilir.</w:t>
      </w:r>
    </w:p>
    <w:p w:rsidR="00E11C02" w:rsidRPr="00C95B1F" w:rsidRDefault="00E11C02" w:rsidP="00E11C02">
      <w:pPr>
        <w:shd w:val="clear" w:color="auto" w:fill="FFFFFF"/>
        <w:spacing w:before="120" w:after="120" w:line="240" w:lineRule="auto"/>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Sigorta şirketleri önce bu haklarını kusurlu kişilerle anlaşarak (sulhen) kullanmayı denerler. Sulhen giderilemeyen sorunların çözümü için mahkeme yoluna gidilir. Çağdaş sigorta şirketlerinde rücu ve hukuk işlerinde uzmanlaşmış bölümler bulunur.</w:t>
      </w:r>
    </w:p>
    <w:p w:rsidR="00E11C02" w:rsidRPr="00C95B1F" w:rsidRDefault="00E11C02" w:rsidP="00E11C02">
      <w:pPr>
        <w:shd w:val="clear" w:color="auto" w:fill="FFFFFF"/>
        <w:spacing w:before="120" w:after="120" w:line="240" w:lineRule="auto"/>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Deprem gibi büyük felaketler sonucu ödenen hasarların sigorta şirketlerinin mali güçlerini aşan tutarlara ulaşması nedeniyle, sigortacılar da kendi üstlendikleri riskleri sigortalarlar. Bu yeniden sigortalama işlemine </w:t>
      </w:r>
      <w:hyperlink r:id="rId25" w:tooltip="Reasürans" w:history="1">
        <w:r w:rsidRPr="00C95B1F">
          <w:rPr>
            <w:rFonts w:ascii="Times New Roman" w:eastAsia="Times New Roman" w:hAnsi="Times New Roman" w:cs="Times New Roman"/>
            <w:bCs/>
            <w:color w:val="252525"/>
            <w:sz w:val="24"/>
            <w:szCs w:val="24"/>
            <w:lang w:eastAsia="tr-TR"/>
          </w:rPr>
          <w:t>reasürans</w:t>
        </w:r>
      </w:hyperlink>
      <w:r w:rsidRPr="00C95B1F">
        <w:rPr>
          <w:rFonts w:ascii="Times New Roman" w:eastAsia="Times New Roman" w:hAnsi="Times New Roman" w:cs="Times New Roman"/>
          <w:bCs/>
          <w:color w:val="252525"/>
          <w:sz w:val="24"/>
          <w:szCs w:val="24"/>
          <w:lang w:eastAsia="tr-TR"/>
        </w:rPr>
        <w:t> denir. Reasürans konusunda çalışan şirketlere </w:t>
      </w:r>
      <w:hyperlink r:id="rId26" w:tooltip="Reasürör (sayfa mevcut değil)" w:history="1">
        <w:r w:rsidRPr="00C95B1F">
          <w:rPr>
            <w:rFonts w:ascii="Times New Roman" w:eastAsia="Times New Roman" w:hAnsi="Times New Roman" w:cs="Times New Roman"/>
            <w:bCs/>
            <w:color w:val="252525"/>
            <w:sz w:val="24"/>
            <w:szCs w:val="24"/>
            <w:lang w:eastAsia="tr-TR"/>
          </w:rPr>
          <w:t>reasürör</w:t>
        </w:r>
      </w:hyperlink>
      <w:r w:rsidRPr="00C95B1F">
        <w:rPr>
          <w:rFonts w:ascii="Times New Roman" w:eastAsia="Times New Roman" w:hAnsi="Times New Roman" w:cs="Times New Roman"/>
          <w:bCs/>
          <w:color w:val="252525"/>
          <w:sz w:val="24"/>
          <w:szCs w:val="24"/>
          <w:lang w:eastAsia="tr-TR"/>
        </w:rPr>
        <w:t> adı verilir. Reasürörler, verdikleri teminat karşılığında sigorta şirketlerinden prim alırlar. Reasürans, uluslararası bir iştir. Bir sigorta şirketi, risklerini pek çok reasüröre devredebilir. Böylece, </w:t>
      </w:r>
      <w:hyperlink r:id="rId27" w:tooltip="Deprem" w:history="1">
        <w:r w:rsidRPr="00C95B1F">
          <w:rPr>
            <w:rFonts w:ascii="Times New Roman" w:eastAsia="Times New Roman" w:hAnsi="Times New Roman" w:cs="Times New Roman"/>
            <w:bCs/>
            <w:color w:val="252525"/>
            <w:sz w:val="24"/>
            <w:szCs w:val="24"/>
            <w:lang w:eastAsia="tr-TR"/>
          </w:rPr>
          <w:t>deprem</w:t>
        </w:r>
      </w:hyperlink>
      <w:r w:rsidRPr="00C95B1F">
        <w:rPr>
          <w:rFonts w:ascii="Times New Roman" w:eastAsia="Times New Roman" w:hAnsi="Times New Roman" w:cs="Times New Roman"/>
          <w:bCs/>
          <w:color w:val="252525"/>
          <w:sz w:val="24"/>
          <w:szCs w:val="24"/>
          <w:lang w:eastAsia="tr-TR"/>
        </w:rPr>
        <w:t> gibi felaket boyutlarındaki riskler bile dünya çapında pek çok şirkete dağılarak ödenebilir hale gelir. Bu durumun bir yansıması olarak, dünyanın herhangi bir yerinde meydana gelen bir felaket, tüm sigorta piyasasını etkiler. Örneğin, ABD'de meydana gelen </w:t>
      </w:r>
      <w:hyperlink r:id="rId28" w:tooltip="11 Eylül Saldırıları" w:history="1">
        <w:r w:rsidRPr="00C95B1F">
          <w:rPr>
            <w:rFonts w:ascii="Times New Roman" w:eastAsia="Times New Roman" w:hAnsi="Times New Roman" w:cs="Times New Roman"/>
            <w:bCs/>
            <w:color w:val="252525"/>
            <w:sz w:val="24"/>
            <w:szCs w:val="24"/>
            <w:lang w:eastAsia="tr-TR"/>
          </w:rPr>
          <w:t>11 Eylül Saldırıları</w:t>
        </w:r>
      </w:hyperlink>
      <w:r w:rsidRPr="00C95B1F">
        <w:rPr>
          <w:rFonts w:ascii="Times New Roman" w:eastAsia="Times New Roman" w:hAnsi="Times New Roman" w:cs="Times New Roman"/>
          <w:bCs/>
          <w:color w:val="252525"/>
          <w:sz w:val="24"/>
          <w:szCs w:val="24"/>
          <w:lang w:eastAsia="tr-TR"/>
        </w:rPr>
        <w:t> sonucunda, Türkiye'deki sigorta primleri de (Dünya çapında olduğu gibi) arttı.</w:t>
      </w:r>
    </w:p>
    <w:p w:rsidR="00E11C02" w:rsidRPr="00C95B1F" w:rsidRDefault="00E11C02" w:rsidP="00E11C02">
      <w:pPr>
        <w:shd w:val="clear" w:color="auto" w:fill="FFFFFF"/>
        <w:spacing w:before="120" w:after="120" w:line="240" w:lineRule="auto"/>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Artan rekabet sonucu, çağdaş sigorta şirketleri müşterilerine tazminat ödeyerek yardımcı olmanın dışında sayısı giderek artan bazı yardım hizmetleri, örneğin yolda kalan araçlar için çekici, bozulan musluklar için tesisatçı temini gibi ek hizmetler vermektedir.</w:t>
      </w:r>
    </w:p>
    <w:p w:rsidR="00E11C02" w:rsidRPr="00C95B1F" w:rsidRDefault="00E11C02" w:rsidP="00E11C02">
      <w:pPr>
        <w:shd w:val="clear" w:color="auto" w:fill="FFFFFF"/>
        <w:spacing w:before="120" w:after="120" w:line="240" w:lineRule="auto"/>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Sigorta şirketleri çoğu ülkede (ve Türkiye'de) hayat ve hayat dışı branşlarda çalışan şirketler olarak ikiye ayrılır.</w:t>
      </w:r>
    </w:p>
    <w:p w:rsidR="00E11C02" w:rsidRPr="00C95B1F" w:rsidRDefault="00E11C02" w:rsidP="00E11C02">
      <w:pPr>
        <w:shd w:val="clear" w:color="auto" w:fill="FFFFFF"/>
        <w:spacing w:before="120" w:after="120" w:line="240" w:lineRule="auto"/>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Türkiye'de sigortacılık sektörü, Hazine Müsteşarlığı bünyesinde faaliyet gösteren Sigorta Denetleme Kurulu tarafından denetlenmekte, Sigortacılık Genel Müdürlüğü tarafından düzenlenmektedir.</w:t>
      </w:r>
    </w:p>
    <w:p w:rsidR="00E11C02" w:rsidRPr="00C95B1F" w:rsidRDefault="00E11C02" w:rsidP="00E11C02">
      <w:pPr>
        <w:shd w:val="clear" w:color="auto" w:fill="FFFFFF"/>
        <w:spacing w:before="120" w:after="120" w:line="240" w:lineRule="auto"/>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Türkiye'deki sigorta müşterileri, sigorta şirketi ile anlaşmazlığa düştüklerinde, </w:t>
      </w:r>
      <w:hyperlink r:id="rId29" w:tooltip="Sigorta Tahkim Komisyonu (sayfa mevcut değil)" w:history="1">
        <w:r w:rsidRPr="00C95B1F">
          <w:rPr>
            <w:rFonts w:ascii="Times New Roman" w:eastAsia="Times New Roman" w:hAnsi="Times New Roman" w:cs="Times New Roman"/>
            <w:bCs/>
            <w:color w:val="252525"/>
            <w:sz w:val="24"/>
            <w:szCs w:val="24"/>
            <w:lang w:eastAsia="tr-TR"/>
          </w:rPr>
          <w:t>Sigorta Tahkim Komisyonu</w:t>
        </w:r>
      </w:hyperlink>
      <w:r w:rsidRPr="00C95B1F">
        <w:rPr>
          <w:rFonts w:ascii="Times New Roman" w:eastAsia="Times New Roman" w:hAnsi="Times New Roman" w:cs="Times New Roman"/>
          <w:bCs/>
          <w:color w:val="252525"/>
          <w:sz w:val="24"/>
          <w:szCs w:val="24"/>
          <w:lang w:eastAsia="tr-TR"/>
        </w:rPr>
        <w:t>'na, Türkiye Sigorta ve Reasürans Şirketleri Birliği'ne veya </w:t>
      </w:r>
      <w:hyperlink r:id="rId30" w:tooltip="Hazine Müsteşarlığı" w:history="1">
        <w:r w:rsidRPr="00C95B1F">
          <w:rPr>
            <w:rFonts w:ascii="Times New Roman" w:eastAsia="Times New Roman" w:hAnsi="Times New Roman" w:cs="Times New Roman"/>
            <w:bCs/>
            <w:color w:val="252525"/>
            <w:sz w:val="24"/>
            <w:szCs w:val="24"/>
            <w:lang w:eastAsia="tr-TR"/>
          </w:rPr>
          <w:t>Hazine Müsteşarlığı</w:t>
        </w:r>
      </w:hyperlink>
      <w:r w:rsidRPr="00C95B1F">
        <w:rPr>
          <w:rFonts w:ascii="Times New Roman" w:eastAsia="Times New Roman" w:hAnsi="Times New Roman" w:cs="Times New Roman"/>
          <w:bCs/>
          <w:color w:val="252525"/>
          <w:sz w:val="24"/>
          <w:szCs w:val="24"/>
          <w:lang w:eastAsia="tr-TR"/>
        </w:rPr>
        <w:t>'na başvurabilir.</w:t>
      </w:r>
    </w:p>
    <w:p w:rsidR="00E11C02" w:rsidRPr="00C95B1F" w:rsidRDefault="00E11C02" w:rsidP="00E11C02">
      <w:pPr>
        <w:shd w:val="clear" w:color="auto" w:fill="FFFFFF"/>
        <w:spacing w:before="120" w:after="120" w:line="240" w:lineRule="auto"/>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Kanunen "sigortalanamaz" olarak nitelenen riskler dışındaki tüm riskler sigortalanabilir. Başlıca sigorta türleri şunlardır:</w:t>
      </w:r>
    </w:p>
    <w:p w:rsidR="00E11C02" w:rsidRPr="00C95B1F" w:rsidRDefault="00E11C02" w:rsidP="00E11C02">
      <w:pPr>
        <w:numPr>
          <w:ilvl w:val="0"/>
          <w:numId w:val="1"/>
        </w:numPr>
        <w:shd w:val="clear" w:color="auto" w:fill="FFFFFF"/>
        <w:spacing w:before="100" w:beforeAutospacing="1" w:after="24" w:line="240" w:lineRule="auto"/>
        <w:ind w:left="384"/>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Can sigortası</w:t>
      </w:r>
    </w:p>
    <w:p w:rsidR="00E11C02" w:rsidRPr="00C95B1F" w:rsidRDefault="00E11C02" w:rsidP="00E11C02">
      <w:pPr>
        <w:numPr>
          <w:ilvl w:val="1"/>
          <w:numId w:val="1"/>
        </w:numPr>
        <w:shd w:val="clear" w:color="auto" w:fill="FFFFFF"/>
        <w:spacing w:before="100" w:beforeAutospacing="1" w:after="24" w:line="240" w:lineRule="auto"/>
        <w:ind w:left="768"/>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Hayat sigortası</w:t>
      </w:r>
    </w:p>
    <w:p w:rsidR="00E11C02" w:rsidRPr="00C95B1F" w:rsidRDefault="00E11C02" w:rsidP="00E11C02">
      <w:pPr>
        <w:numPr>
          <w:ilvl w:val="1"/>
          <w:numId w:val="1"/>
        </w:numPr>
        <w:shd w:val="clear" w:color="auto" w:fill="FFFFFF"/>
        <w:spacing w:before="100" w:beforeAutospacing="1" w:after="24" w:line="240" w:lineRule="auto"/>
        <w:ind w:left="768"/>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Ferdi kaza sigortası</w:t>
      </w:r>
    </w:p>
    <w:p w:rsidR="00E11C02" w:rsidRPr="00C95B1F" w:rsidRDefault="00E11C02" w:rsidP="00E11C02">
      <w:pPr>
        <w:numPr>
          <w:ilvl w:val="1"/>
          <w:numId w:val="1"/>
        </w:numPr>
        <w:shd w:val="clear" w:color="auto" w:fill="FFFFFF"/>
        <w:spacing w:before="100" w:beforeAutospacing="1" w:after="24" w:line="240" w:lineRule="auto"/>
        <w:ind w:left="768"/>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Sağlık sigortası</w:t>
      </w:r>
    </w:p>
    <w:p w:rsidR="00E11C02" w:rsidRPr="00C95B1F" w:rsidRDefault="00E11C02" w:rsidP="00E11C02">
      <w:pPr>
        <w:numPr>
          <w:ilvl w:val="0"/>
          <w:numId w:val="1"/>
        </w:numPr>
        <w:shd w:val="clear" w:color="auto" w:fill="FFFFFF"/>
        <w:spacing w:before="100" w:beforeAutospacing="1" w:after="24" w:line="240" w:lineRule="auto"/>
        <w:ind w:left="384"/>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Mal sigortaları</w:t>
      </w:r>
    </w:p>
    <w:p w:rsidR="00E11C02" w:rsidRPr="00C95B1F" w:rsidRDefault="00372D0B" w:rsidP="00E11C02">
      <w:pPr>
        <w:numPr>
          <w:ilvl w:val="1"/>
          <w:numId w:val="1"/>
        </w:numPr>
        <w:shd w:val="clear" w:color="auto" w:fill="FFFFFF"/>
        <w:spacing w:before="100" w:beforeAutospacing="1" w:after="24" w:line="240" w:lineRule="auto"/>
        <w:ind w:left="768"/>
        <w:jc w:val="both"/>
        <w:rPr>
          <w:rFonts w:ascii="Times New Roman" w:eastAsia="Times New Roman" w:hAnsi="Times New Roman" w:cs="Times New Roman"/>
          <w:bCs/>
          <w:color w:val="252525"/>
          <w:sz w:val="24"/>
          <w:szCs w:val="24"/>
          <w:lang w:eastAsia="tr-TR"/>
        </w:rPr>
      </w:pPr>
      <w:hyperlink r:id="rId31" w:tooltip="Kasko" w:history="1">
        <w:r w:rsidR="00E11C02" w:rsidRPr="00C95B1F">
          <w:rPr>
            <w:rFonts w:ascii="Times New Roman" w:eastAsia="Times New Roman" w:hAnsi="Times New Roman" w:cs="Times New Roman"/>
            <w:bCs/>
            <w:color w:val="252525"/>
            <w:sz w:val="24"/>
            <w:szCs w:val="24"/>
            <w:lang w:eastAsia="tr-TR"/>
          </w:rPr>
          <w:t>Kasko</w:t>
        </w:r>
      </w:hyperlink>
      <w:r w:rsidR="00E11C02" w:rsidRPr="00C95B1F">
        <w:rPr>
          <w:rFonts w:ascii="Times New Roman" w:eastAsia="Times New Roman" w:hAnsi="Times New Roman" w:cs="Times New Roman"/>
          <w:bCs/>
          <w:color w:val="252525"/>
          <w:sz w:val="24"/>
          <w:szCs w:val="24"/>
          <w:lang w:eastAsia="tr-TR"/>
        </w:rPr>
        <w:t> vb. oto sigortası</w:t>
      </w:r>
    </w:p>
    <w:p w:rsidR="00E11C02" w:rsidRPr="00C95B1F" w:rsidRDefault="00E11C02" w:rsidP="00E11C02">
      <w:pPr>
        <w:numPr>
          <w:ilvl w:val="1"/>
          <w:numId w:val="1"/>
        </w:numPr>
        <w:shd w:val="clear" w:color="auto" w:fill="FFFFFF"/>
        <w:spacing w:before="100" w:beforeAutospacing="1" w:after="24" w:line="240" w:lineRule="auto"/>
        <w:ind w:left="768"/>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Yangın sigortası</w:t>
      </w:r>
    </w:p>
    <w:p w:rsidR="00E11C02" w:rsidRPr="00C95B1F" w:rsidRDefault="00E11C02" w:rsidP="00E11C02">
      <w:pPr>
        <w:numPr>
          <w:ilvl w:val="1"/>
          <w:numId w:val="1"/>
        </w:numPr>
        <w:shd w:val="clear" w:color="auto" w:fill="FFFFFF"/>
        <w:spacing w:before="100" w:beforeAutospacing="1" w:after="24" w:line="240" w:lineRule="auto"/>
        <w:ind w:left="768"/>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Nakliyat sigortası</w:t>
      </w:r>
    </w:p>
    <w:p w:rsidR="00E11C02" w:rsidRPr="00C95B1F" w:rsidRDefault="00E11C02" w:rsidP="00E11C02">
      <w:pPr>
        <w:numPr>
          <w:ilvl w:val="1"/>
          <w:numId w:val="1"/>
        </w:numPr>
        <w:shd w:val="clear" w:color="auto" w:fill="FFFFFF"/>
        <w:spacing w:before="100" w:beforeAutospacing="1" w:after="24" w:line="240" w:lineRule="auto"/>
        <w:ind w:left="768"/>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Mühendislik sigortası</w:t>
      </w:r>
    </w:p>
    <w:p w:rsidR="00E11C02" w:rsidRPr="00C95B1F" w:rsidRDefault="00E11C02" w:rsidP="00E11C02">
      <w:pPr>
        <w:numPr>
          <w:ilvl w:val="0"/>
          <w:numId w:val="1"/>
        </w:numPr>
        <w:shd w:val="clear" w:color="auto" w:fill="FFFFFF"/>
        <w:spacing w:before="100" w:beforeAutospacing="1" w:after="24" w:line="240" w:lineRule="auto"/>
        <w:ind w:left="384"/>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Sorumluluk sigortası</w:t>
      </w:r>
    </w:p>
    <w:p w:rsidR="00E11C02" w:rsidRPr="00C95B1F" w:rsidRDefault="00E11C02" w:rsidP="00E11C02">
      <w:pPr>
        <w:numPr>
          <w:ilvl w:val="0"/>
          <w:numId w:val="1"/>
        </w:numPr>
        <w:shd w:val="clear" w:color="auto" w:fill="FFFFFF"/>
        <w:spacing w:before="100" w:beforeAutospacing="1" w:after="24" w:line="240" w:lineRule="auto"/>
        <w:ind w:left="384"/>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lastRenderedPageBreak/>
        <w:t>Hukuki koruma sigortası</w:t>
      </w:r>
    </w:p>
    <w:p w:rsidR="00E11C02" w:rsidRPr="00C95B1F" w:rsidRDefault="00E11C02" w:rsidP="00E11C02">
      <w:pPr>
        <w:numPr>
          <w:ilvl w:val="0"/>
          <w:numId w:val="1"/>
        </w:numPr>
        <w:shd w:val="clear" w:color="auto" w:fill="FFFFFF"/>
        <w:spacing w:before="100" w:beforeAutospacing="1" w:after="24" w:line="240" w:lineRule="auto"/>
        <w:ind w:left="384"/>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Kredi sigortası</w:t>
      </w:r>
    </w:p>
    <w:p w:rsidR="00E11C02" w:rsidRPr="00C95B1F" w:rsidRDefault="00E11C02" w:rsidP="00E11C02">
      <w:pPr>
        <w:shd w:val="clear" w:color="auto" w:fill="FFFFFF"/>
        <w:spacing w:before="120" w:after="120" w:line="240" w:lineRule="auto"/>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Sigorta türleri, zorunlu olup olmamasına göre de sınıflanabilir. Türkiye'de başlıca zorunlu sigortalar </w:t>
      </w:r>
      <w:hyperlink r:id="rId32" w:tooltip="Trafik Sigortası" w:history="1">
        <w:r w:rsidRPr="00C95B1F">
          <w:rPr>
            <w:rFonts w:ascii="Times New Roman" w:eastAsia="Times New Roman" w:hAnsi="Times New Roman" w:cs="Times New Roman"/>
            <w:bCs/>
            <w:color w:val="252525"/>
            <w:sz w:val="24"/>
            <w:szCs w:val="24"/>
            <w:lang w:eastAsia="tr-TR"/>
          </w:rPr>
          <w:t>Trafik Sigortası</w:t>
        </w:r>
      </w:hyperlink>
      <w:r w:rsidRPr="00C95B1F">
        <w:rPr>
          <w:rFonts w:ascii="Times New Roman" w:eastAsia="Times New Roman" w:hAnsi="Times New Roman" w:cs="Times New Roman"/>
          <w:bCs/>
          <w:color w:val="252525"/>
          <w:sz w:val="24"/>
          <w:szCs w:val="24"/>
          <w:lang w:eastAsia="tr-TR"/>
        </w:rPr>
        <w:t> ile </w:t>
      </w:r>
      <w:hyperlink r:id="rId33" w:tooltip="Zorunlu Deprem Sigortası" w:history="1">
        <w:r w:rsidRPr="00C95B1F">
          <w:rPr>
            <w:rFonts w:ascii="Times New Roman" w:eastAsia="Times New Roman" w:hAnsi="Times New Roman" w:cs="Times New Roman"/>
            <w:bCs/>
            <w:color w:val="252525"/>
            <w:sz w:val="24"/>
            <w:szCs w:val="24"/>
            <w:lang w:eastAsia="tr-TR"/>
          </w:rPr>
          <w:t>Zorunlu Deprem Sigortasıdır</w:t>
        </w:r>
      </w:hyperlink>
      <w:r w:rsidRPr="00C95B1F">
        <w:rPr>
          <w:rFonts w:ascii="Times New Roman" w:eastAsia="Times New Roman" w:hAnsi="Times New Roman" w:cs="Times New Roman"/>
          <w:bCs/>
          <w:color w:val="252525"/>
          <w:sz w:val="24"/>
          <w:szCs w:val="24"/>
          <w:lang w:eastAsia="tr-TR"/>
        </w:rPr>
        <w:t>.</w:t>
      </w:r>
    </w:p>
    <w:p w:rsidR="00E11C02" w:rsidRPr="00C95B1F" w:rsidRDefault="004D5074" w:rsidP="00E11C02">
      <w:pPr>
        <w:jc w:val="both"/>
        <w:rPr>
          <w:rFonts w:ascii="Times New Roman" w:eastAsia="Times New Roman" w:hAnsi="Times New Roman" w:cs="Times New Roman"/>
          <w:b/>
          <w:bCs/>
          <w:color w:val="252525"/>
          <w:sz w:val="24"/>
          <w:szCs w:val="24"/>
          <w:lang w:eastAsia="tr-TR"/>
        </w:rPr>
      </w:pPr>
      <w:r w:rsidRPr="00C95B1F">
        <w:rPr>
          <w:rFonts w:ascii="Times New Roman" w:eastAsia="Times New Roman" w:hAnsi="Times New Roman" w:cs="Times New Roman"/>
          <w:b/>
          <w:bCs/>
          <w:color w:val="252525"/>
          <w:sz w:val="24"/>
          <w:szCs w:val="24"/>
          <w:lang w:eastAsia="tr-TR"/>
        </w:rPr>
        <w:t>SİGORTA ACENTELİĞİ</w:t>
      </w:r>
    </w:p>
    <w:p w:rsidR="004D5074" w:rsidRPr="00C95B1F" w:rsidRDefault="004D5074" w:rsidP="00E11C02">
      <w:pPr>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color w:val="252525"/>
          <w:sz w:val="24"/>
          <w:szCs w:val="24"/>
          <w:lang w:eastAsia="tr-TR"/>
        </w:rPr>
        <w:t>Sigorta acenteleri</w:t>
      </w:r>
      <w:r w:rsidRPr="00C95B1F">
        <w:rPr>
          <w:rFonts w:ascii="Times New Roman" w:eastAsia="Times New Roman" w:hAnsi="Times New Roman" w:cs="Times New Roman"/>
          <w:bCs/>
          <w:color w:val="252525"/>
          <w:sz w:val="24"/>
          <w:szCs w:val="24"/>
          <w:lang w:eastAsia="tr-TR"/>
        </w:rPr>
        <w:t> bir sözleşme ile bağlı bulundukları sigorta şirketlerinin temsilcileridir. Bağlı bulundukları </w:t>
      </w:r>
      <w:hyperlink r:id="rId34" w:history="1">
        <w:r w:rsidRPr="00C95B1F">
          <w:rPr>
            <w:rFonts w:ascii="Times New Roman" w:eastAsia="Times New Roman" w:hAnsi="Times New Roman" w:cs="Times New Roman"/>
            <w:color w:val="252525"/>
            <w:sz w:val="24"/>
            <w:szCs w:val="24"/>
            <w:lang w:eastAsia="tr-TR"/>
          </w:rPr>
          <w:t>sigorta</w:t>
        </w:r>
      </w:hyperlink>
      <w:r w:rsidRPr="00C95B1F">
        <w:rPr>
          <w:rFonts w:ascii="Times New Roman" w:eastAsia="Times New Roman" w:hAnsi="Times New Roman" w:cs="Times New Roman"/>
          <w:bCs/>
          <w:color w:val="252525"/>
          <w:sz w:val="24"/>
          <w:szCs w:val="24"/>
          <w:lang w:eastAsia="tr-TR"/>
        </w:rPr>
        <w:t> şirketinin ürünlerinin tanıtım ve pazarlaması ile görevli olup, o şirketin talimatları doğrultusunda çalışmaktadırlar.</w:t>
      </w:r>
    </w:p>
    <w:p w:rsidR="00E11C02" w:rsidRPr="00C95B1F" w:rsidRDefault="004D5074">
      <w:pPr>
        <w:rPr>
          <w:rFonts w:ascii="Times New Roman" w:eastAsia="Times New Roman" w:hAnsi="Times New Roman" w:cs="Times New Roman"/>
          <w:b/>
          <w:bCs/>
          <w:color w:val="252525"/>
          <w:sz w:val="24"/>
          <w:szCs w:val="24"/>
          <w:lang w:eastAsia="tr-TR"/>
        </w:rPr>
      </w:pPr>
      <w:r w:rsidRPr="00C95B1F">
        <w:rPr>
          <w:rFonts w:ascii="Times New Roman" w:eastAsia="Times New Roman" w:hAnsi="Times New Roman" w:cs="Times New Roman"/>
          <w:b/>
          <w:bCs/>
          <w:color w:val="252525"/>
          <w:sz w:val="24"/>
          <w:szCs w:val="24"/>
          <w:lang w:eastAsia="tr-TR"/>
        </w:rPr>
        <w:t>Nasıl Sigorta Acentesi Olunur?</w:t>
      </w:r>
    </w:p>
    <w:p w:rsidR="004D5074" w:rsidRPr="00C95B1F" w:rsidRDefault="004D5074" w:rsidP="004D5074">
      <w:pPr>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Sigorta Acenteliği işletmesi açmak isteyen gerçek veya tüzel kişilerin TOBB sigortacılık levha kaydının bulunması gerekmektedir. Sigortacılık levha kaydı yapmak isteyen gerçek ve tüzel kişilerin Hazine Müsteşarlığının belirlediği şartları yerine getirmesi gerekmektedir. Bu şartlar genel olarak şunlardır;</w:t>
      </w:r>
    </w:p>
    <w:p w:rsidR="004D5074" w:rsidRPr="00C95B1F" w:rsidRDefault="004D5074" w:rsidP="004D5074">
      <w:pPr>
        <w:rPr>
          <w:rFonts w:ascii="Times New Roman" w:eastAsia="Times New Roman" w:hAnsi="Times New Roman" w:cs="Times New Roman"/>
          <w:b/>
          <w:bCs/>
          <w:color w:val="252525"/>
          <w:sz w:val="24"/>
          <w:szCs w:val="24"/>
          <w:lang w:eastAsia="tr-TR"/>
        </w:rPr>
      </w:pPr>
      <w:r w:rsidRPr="00C95B1F">
        <w:rPr>
          <w:rFonts w:ascii="Times New Roman" w:eastAsia="Times New Roman" w:hAnsi="Times New Roman" w:cs="Times New Roman"/>
          <w:b/>
          <w:bCs/>
          <w:color w:val="252525"/>
          <w:sz w:val="24"/>
          <w:szCs w:val="24"/>
          <w:lang w:eastAsia="tr-TR"/>
        </w:rPr>
        <w:t>Gerçek Kişi Sigorta Acenteliği Levha Kaydı Yapmak İsteyen Kişilerin;</w:t>
      </w:r>
    </w:p>
    <w:p w:rsidR="004D5074" w:rsidRPr="00C95B1F" w:rsidRDefault="004D5074" w:rsidP="004D5074">
      <w:pPr>
        <w:pStyle w:val="ListeParagraf"/>
        <w:numPr>
          <w:ilvl w:val="0"/>
          <w:numId w:val="2"/>
        </w:numPr>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Üniversitelerin 4 Yıllık Fakültelerinden ya da 2 Yıllık Sigortacılık, Sigorta ve Bankacılık, Risk Yönetimi ve Aktüerya bölümlerinden mezun olmak,</w:t>
      </w:r>
    </w:p>
    <w:p w:rsidR="004D5074" w:rsidRPr="00C95B1F" w:rsidRDefault="004D5074" w:rsidP="004D5074">
      <w:pPr>
        <w:pStyle w:val="ListeParagraf"/>
        <w:numPr>
          <w:ilvl w:val="0"/>
          <w:numId w:val="2"/>
        </w:numPr>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Dört Yıllık fakülte mezunlarının 18 ay sigortacılık teknik personel hizmetinin bulunması</w:t>
      </w:r>
      <w:r w:rsidR="009F6281" w:rsidRPr="00C95B1F">
        <w:rPr>
          <w:rFonts w:ascii="Times New Roman" w:eastAsia="Times New Roman" w:hAnsi="Times New Roman" w:cs="Times New Roman"/>
          <w:bCs/>
          <w:color w:val="252525"/>
          <w:sz w:val="24"/>
          <w:szCs w:val="24"/>
          <w:lang w:eastAsia="tr-TR"/>
        </w:rPr>
        <w:t>,</w:t>
      </w:r>
    </w:p>
    <w:p w:rsidR="004D5074" w:rsidRPr="00C95B1F" w:rsidRDefault="004D5074" w:rsidP="004D5074">
      <w:pPr>
        <w:pStyle w:val="ListeParagraf"/>
        <w:numPr>
          <w:ilvl w:val="0"/>
          <w:numId w:val="2"/>
        </w:numPr>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İki yıllık yüksekokul mezunlarının (Sigortacılık, Sigorta ve Bankacılık, Risk Yönetimi ve Aktüerya bölümleri) 24 ay sigortacılık tekni</w:t>
      </w:r>
      <w:r w:rsidR="009F6281" w:rsidRPr="00C95B1F">
        <w:rPr>
          <w:rFonts w:ascii="Times New Roman" w:eastAsia="Times New Roman" w:hAnsi="Times New Roman" w:cs="Times New Roman"/>
          <w:bCs/>
          <w:color w:val="252525"/>
          <w:sz w:val="24"/>
          <w:szCs w:val="24"/>
          <w:lang w:eastAsia="tr-TR"/>
        </w:rPr>
        <w:t>k personel hizmetinin bulunması,</w:t>
      </w:r>
    </w:p>
    <w:p w:rsidR="004D5074" w:rsidRPr="00C95B1F" w:rsidRDefault="004D5074" w:rsidP="004D5074">
      <w:pPr>
        <w:pStyle w:val="ListeParagraf"/>
        <w:numPr>
          <w:ilvl w:val="0"/>
          <w:numId w:val="2"/>
        </w:numPr>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Segem Belgesinin (sigorta eğitim merkez</w:t>
      </w:r>
      <w:r w:rsidR="009F6281" w:rsidRPr="00C95B1F">
        <w:rPr>
          <w:rFonts w:ascii="Times New Roman" w:eastAsia="Times New Roman" w:hAnsi="Times New Roman" w:cs="Times New Roman"/>
          <w:bCs/>
          <w:color w:val="252525"/>
          <w:sz w:val="24"/>
          <w:szCs w:val="24"/>
          <w:lang w:eastAsia="tr-TR"/>
        </w:rPr>
        <w:t>i ) bulunması,</w:t>
      </w:r>
    </w:p>
    <w:p w:rsidR="009F6281" w:rsidRPr="00C95B1F" w:rsidRDefault="009F6281" w:rsidP="004D5074">
      <w:pPr>
        <w:pStyle w:val="ListeParagraf"/>
        <w:numPr>
          <w:ilvl w:val="0"/>
          <w:numId w:val="2"/>
        </w:numPr>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 xml:space="preserve">Sigorta Acenteliği açılacak ildeki Ticaret ve Sanayi odasına üye olunması gerekmektedir. </w:t>
      </w:r>
    </w:p>
    <w:p w:rsidR="004D5074" w:rsidRPr="00C95B1F" w:rsidRDefault="004D5074" w:rsidP="004D5074">
      <w:pPr>
        <w:jc w:val="both"/>
        <w:rPr>
          <w:rFonts w:ascii="Times New Roman" w:eastAsia="Times New Roman" w:hAnsi="Times New Roman" w:cs="Times New Roman"/>
          <w:b/>
          <w:bCs/>
          <w:color w:val="252525"/>
          <w:sz w:val="24"/>
          <w:szCs w:val="24"/>
          <w:lang w:eastAsia="tr-TR"/>
        </w:rPr>
      </w:pPr>
      <w:r w:rsidRPr="00C95B1F">
        <w:rPr>
          <w:rFonts w:ascii="Times New Roman" w:eastAsia="Times New Roman" w:hAnsi="Times New Roman" w:cs="Times New Roman"/>
          <w:b/>
          <w:bCs/>
          <w:color w:val="252525"/>
          <w:sz w:val="24"/>
          <w:szCs w:val="24"/>
          <w:lang w:eastAsia="tr-TR"/>
        </w:rPr>
        <w:t>Tüzel Kişi Sigorta Acenteliği Levha Kaydı Yapmak İsteyen Kişilerin;</w:t>
      </w:r>
    </w:p>
    <w:p w:rsidR="009F6281" w:rsidRPr="00C95B1F" w:rsidRDefault="009F6281" w:rsidP="004D5074">
      <w:pPr>
        <w:pStyle w:val="ListeParagraf"/>
        <w:numPr>
          <w:ilvl w:val="0"/>
          <w:numId w:val="2"/>
        </w:numPr>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 xml:space="preserve">Sigorta Acenteliği açılacak ildeki Ticaret ve Sanayi odasına üye olunması gerekmektedir. </w:t>
      </w:r>
    </w:p>
    <w:p w:rsidR="004D5074" w:rsidRPr="00C95B1F" w:rsidRDefault="004D5074" w:rsidP="004D5074">
      <w:pPr>
        <w:pStyle w:val="ListeParagraf"/>
        <w:numPr>
          <w:ilvl w:val="0"/>
          <w:numId w:val="3"/>
        </w:numPr>
        <w:jc w:val="both"/>
        <w:rPr>
          <w:rFonts w:ascii="Times New Roman" w:eastAsia="Times New Roman" w:hAnsi="Times New Roman" w:cs="Times New Roman"/>
          <w:b/>
          <w:bCs/>
          <w:i/>
          <w:color w:val="252525"/>
          <w:sz w:val="24"/>
          <w:szCs w:val="24"/>
          <w:lang w:eastAsia="tr-TR"/>
        </w:rPr>
      </w:pPr>
      <w:r w:rsidRPr="00C95B1F">
        <w:rPr>
          <w:rFonts w:ascii="Times New Roman" w:eastAsia="Times New Roman" w:hAnsi="Times New Roman" w:cs="Times New Roman"/>
          <w:b/>
          <w:bCs/>
          <w:i/>
          <w:color w:val="252525"/>
          <w:sz w:val="24"/>
          <w:szCs w:val="24"/>
          <w:lang w:eastAsia="tr-TR"/>
        </w:rPr>
        <w:t>Şirket ortaklarının en az birinin;</w:t>
      </w:r>
    </w:p>
    <w:p w:rsidR="004D5074" w:rsidRPr="00C95B1F" w:rsidRDefault="004D5074" w:rsidP="004D5074">
      <w:pPr>
        <w:pStyle w:val="ListeParagraf"/>
        <w:numPr>
          <w:ilvl w:val="1"/>
          <w:numId w:val="3"/>
        </w:numPr>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Üniversitelerin 4 Yıllık Fakültelerinden ya da 2 Yıllık Sigortacılık, Sigorta ve Bankacılık, Risk Yönetimi ve Aktüerya bölümlerinden mezun olması</w:t>
      </w:r>
    </w:p>
    <w:p w:rsidR="004D5074" w:rsidRPr="00C95B1F" w:rsidRDefault="004D5074" w:rsidP="004D5074">
      <w:pPr>
        <w:pStyle w:val="ListeParagraf"/>
        <w:numPr>
          <w:ilvl w:val="1"/>
          <w:numId w:val="3"/>
        </w:numPr>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Dört Yıllık Fakülte mezunlarının 18 ay sigortacılık teknik personel hizmetinin bulunması</w:t>
      </w:r>
    </w:p>
    <w:p w:rsidR="004D5074" w:rsidRPr="00C95B1F" w:rsidRDefault="004D5074" w:rsidP="004D5074">
      <w:pPr>
        <w:pStyle w:val="ListeParagraf"/>
        <w:numPr>
          <w:ilvl w:val="1"/>
          <w:numId w:val="3"/>
        </w:numPr>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İki yıllık yüksekokul mezunlarının (Sigortacılık, Sigorta ve Bankacılık, Risk Yönetimi ve Aktüerya bölümleri) 24 ay sigortacılık teknik personel hizmetinin bulunması</w:t>
      </w:r>
      <w:r w:rsidR="009F6281" w:rsidRPr="00C95B1F">
        <w:rPr>
          <w:rFonts w:ascii="Times New Roman" w:eastAsia="Times New Roman" w:hAnsi="Times New Roman" w:cs="Times New Roman"/>
          <w:bCs/>
          <w:color w:val="252525"/>
          <w:sz w:val="24"/>
          <w:szCs w:val="24"/>
          <w:lang w:eastAsia="tr-TR"/>
        </w:rPr>
        <w:t>,</w:t>
      </w:r>
    </w:p>
    <w:p w:rsidR="004D5074" w:rsidRPr="00C95B1F" w:rsidRDefault="004D5074" w:rsidP="004D5074">
      <w:pPr>
        <w:pStyle w:val="ListeParagraf"/>
        <w:numPr>
          <w:ilvl w:val="1"/>
          <w:numId w:val="3"/>
        </w:numPr>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Segem Belgesinin (sigorta eğitim me</w:t>
      </w:r>
      <w:r w:rsidR="009F6281" w:rsidRPr="00C95B1F">
        <w:rPr>
          <w:rFonts w:ascii="Times New Roman" w:eastAsia="Times New Roman" w:hAnsi="Times New Roman" w:cs="Times New Roman"/>
          <w:bCs/>
          <w:color w:val="252525"/>
          <w:sz w:val="24"/>
          <w:szCs w:val="24"/>
          <w:lang w:eastAsia="tr-TR"/>
        </w:rPr>
        <w:t>rkezi ) bulunması,</w:t>
      </w:r>
    </w:p>
    <w:p w:rsidR="009F6281" w:rsidRPr="00C95B1F" w:rsidRDefault="009F6281" w:rsidP="00C23098">
      <w:pPr>
        <w:jc w:val="both"/>
        <w:rPr>
          <w:rFonts w:ascii="Times New Roman" w:eastAsia="Times New Roman" w:hAnsi="Times New Roman" w:cs="Times New Roman"/>
          <w:bCs/>
          <w:color w:val="252525"/>
          <w:sz w:val="24"/>
          <w:szCs w:val="24"/>
          <w:lang w:eastAsia="tr-TR"/>
        </w:rPr>
      </w:pPr>
    </w:p>
    <w:p w:rsidR="004D5074" w:rsidRPr="00C95B1F" w:rsidRDefault="004D5074" w:rsidP="004D5074">
      <w:pPr>
        <w:pStyle w:val="ListeParagraf"/>
        <w:numPr>
          <w:ilvl w:val="0"/>
          <w:numId w:val="3"/>
        </w:numPr>
        <w:jc w:val="both"/>
        <w:rPr>
          <w:rFonts w:ascii="Times New Roman" w:eastAsia="Times New Roman" w:hAnsi="Times New Roman" w:cs="Times New Roman"/>
          <w:b/>
          <w:bCs/>
          <w:i/>
          <w:color w:val="252525"/>
          <w:sz w:val="24"/>
          <w:szCs w:val="24"/>
          <w:lang w:eastAsia="tr-TR"/>
        </w:rPr>
      </w:pPr>
      <w:r w:rsidRPr="00C95B1F">
        <w:rPr>
          <w:rFonts w:ascii="Times New Roman" w:eastAsia="Times New Roman" w:hAnsi="Times New Roman" w:cs="Times New Roman"/>
          <w:b/>
          <w:bCs/>
          <w:i/>
          <w:color w:val="252525"/>
          <w:sz w:val="24"/>
          <w:szCs w:val="24"/>
          <w:lang w:eastAsia="tr-TR"/>
        </w:rPr>
        <w:lastRenderedPageBreak/>
        <w:t>Şirket Müdürü Olacak Kişinin;</w:t>
      </w:r>
    </w:p>
    <w:p w:rsidR="004D5074" w:rsidRPr="00C95B1F" w:rsidRDefault="004D5074" w:rsidP="004D5074">
      <w:pPr>
        <w:pStyle w:val="ListeParagraf"/>
        <w:numPr>
          <w:ilvl w:val="1"/>
          <w:numId w:val="3"/>
        </w:numPr>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Üniversitelerin 4 Yıllık Fakültelerinden ya da 2 Yıllık Sigortacılık, Sigorta ve Bankacılık, Risk Yönetimi ve Aktüerya bölümlerinden mezun olması</w:t>
      </w:r>
    </w:p>
    <w:p w:rsidR="004D5074" w:rsidRPr="00C95B1F" w:rsidRDefault="004D5074" w:rsidP="004D5074">
      <w:pPr>
        <w:pStyle w:val="ListeParagraf"/>
        <w:numPr>
          <w:ilvl w:val="1"/>
          <w:numId w:val="3"/>
        </w:numPr>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Dört Yıllık fakülte mezunlarının 18 ay sigortacılık teknik personel hizmetinin bulunması</w:t>
      </w:r>
    </w:p>
    <w:p w:rsidR="004D5074" w:rsidRPr="00C95B1F" w:rsidRDefault="004D5074" w:rsidP="004D5074">
      <w:pPr>
        <w:pStyle w:val="ListeParagraf"/>
        <w:numPr>
          <w:ilvl w:val="1"/>
          <w:numId w:val="3"/>
        </w:numPr>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İki yıllık yüksekokul mezunlarının (Sigortacılık, Sigorta ve Bankacılık, Risk Yönetimi ve Aktüerya bölümleri) 24 ay sigortacılık teknik personel hizmetinin bulunması</w:t>
      </w:r>
    </w:p>
    <w:p w:rsidR="004D5074" w:rsidRPr="00C95B1F" w:rsidRDefault="004D5074" w:rsidP="009F6281">
      <w:pPr>
        <w:pStyle w:val="ListeParagraf"/>
        <w:numPr>
          <w:ilvl w:val="1"/>
          <w:numId w:val="3"/>
        </w:numPr>
        <w:jc w:val="both"/>
        <w:rPr>
          <w:rFonts w:ascii="Times New Roman" w:eastAsia="Times New Roman" w:hAnsi="Times New Roman" w:cs="Times New Roman"/>
          <w:bCs/>
          <w:color w:val="252525"/>
          <w:sz w:val="24"/>
          <w:szCs w:val="24"/>
          <w:lang w:eastAsia="tr-TR"/>
        </w:rPr>
      </w:pPr>
      <w:r w:rsidRPr="00C95B1F">
        <w:rPr>
          <w:rFonts w:ascii="Times New Roman" w:eastAsia="Times New Roman" w:hAnsi="Times New Roman" w:cs="Times New Roman"/>
          <w:bCs/>
          <w:color w:val="252525"/>
          <w:sz w:val="24"/>
          <w:szCs w:val="24"/>
          <w:lang w:eastAsia="tr-TR"/>
        </w:rPr>
        <w:t>Segem Belgesinin (sigorta eğitim merkezi ) bulunması gerekmektedir.</w:t>
      </w:r>
    </w:p>
    <w:p w:rsidR="009B0023" w:rsidRPr="009F6281" w:rsidRDefault="00B640D9">
      <w:pPr>
        <w:rPr>
          <w:b/>
        </w:rPr>
      </w:pPr>
      <w:r>
        <w:rPr>
          <w:b/>
        </w:rPr>
        <w:t>VAN İLİ</w:t>
      </w:r>
      <w:r w:rsidR="002B38A7">
        <w:rPr>
          <w:b/>
        </w:rPr>
        <w:t>NDE</w:t>
      </w:r>
      <w:r>
        <w:rPr>
          <w:b/>
        </w:rPr>
        <w:t xml:space="preserve"> LEVHAYA KAYITLI S</w:t>
      </w:r>
      <w:r w:rsidR="00EB6A4C" w:rsidRPr="009F6281">
        <w:rPr>
          <w:b/>
        </w:rPr>
        <w:t>İGORTA ACENTESİ</w:t>
      </w:r>
    </w:p>
    <w:tbl>
      <w:tblPr>
        <w:tblStyle w:val="AkListe-Vurgu2"/>
        <w:tblW w:w="0" w:type="auto"/>
        <w:tblLook w:val="04A0" w:firstRow="1" w:lastRow="0" w:firstColumn="1" w:lastColumn="0" w:noHBand="0" w:noVBand="1"/>
      </w:tblPr>
      <w:tblGrid>
        <w:gridCol w:w="4530"/>
        <w:gridCol w:w="4522"/>
      </w:tblGrid>
      <w:tr w:rsidR="00EB6A4C" w:rsidTr="00C23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EB6A4C" w:rsidRDefault="00EB6A4C">
            <w:r>
              <w:t>TÜR</w:t>
            </w:r>
          </w:p>
        </w:tc>
        <w:tc>
          <w:tcPr>
            <w:tcW w:w="4606" w:type="dxa"/>
          </w:tcPr>
          <w:p w:rsidR="00EB6A4C" w:rsidRDefault="00EB6A4C">
            <w:pPr>
              <w:cnfStyle w:val="100000000000" w:firstRow="1" w:lastRow="0" w:firstColumn="0" w:lastColumn="0" w:oddVBand="0" w:evenVBand="0" w:oddHBand="0" w:evenHBand="0" w:firstRowFirstColumn="0" w:firstRowLastColumn="0" w:lastRowFirstColumn="0" w:lastRowLastColumn="0"/>
            </w:pPr>
            <w:r>
              <w:t>SAYI</w:t>
            </w:r>
          </w:p>
        </w:tc>
      </w:tr>
      <w:tr w:rsidR="00EB6A4C" w:rsidTr="00C23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EB6A4C" w:rsidRDefault="00EB6A4C">
            <w:r>
              <w:t xml:space="preserve">ŞAHIS </w:t>
            </w:r>
          </w:p>
        </w:tc>
        <w:tc>
          <w:tcPr>
            <w:tcW w:w="4606" w:type="dxa"/>
          </w:tcPr>
          <w:p w:rsidR="00EB6A4C" w:rsidRDefault="00EB6A4C">
            <w:pPr>
              <w:cnfStyle w:val="000000100000" w:firstRow="0" w:lastRow="0" w:firstColumn="0" w:lastColumn="0" w:oddVBand="0" w:evenVBand="0" w:oddHBand="1" w:evenHBand="0" w:firstRowFirstColumn="0" w:firstRowLastColumn="0" w:lastRowFirstColumn="0" w:lastRowLastColumn="0"/>
            </w:pPr>
            <w:r>
              <w:t>59</w:t>
            </w:r>
          </w:p>
        </w:tc>
      </w:tr>
      <w:tr w:rsidR="00EB6A4C" w:rsidTr="00C23098">
        <w:tc>
          <w:tcPr>
            <w:cnfStyle w:val="001000000000" w:firstRow="0" w:lastRow="0" w:firstColumn="1" w:lastColumn="0" w:oddVBand="0" w:evenVBand="0" w:oddHBand="0" w:evenHBand="0" w:firstRowFirstColumn="0" w:firstRowLastColumn="0" w:lastRowFirstColumn="0" w:lastRowLastColumn="0"/>
            <w:tcW w:w="4606" w:type="dxa"/>
          </w:tcPr>
          <w:p w:rsidR="00EB6A4C" w:rsidRDefault="00EB6A4C">
            <w:r>
              <w:t>LİMİTED</w:t>
            </w:r>
          </w:p>
        </w:tc>
        <w:tc>
          <w:tcPr>
            <w:tcW w:w="4606" w:type="dxa"/>
          </w:tcPr>
          <w:p w:rsidR="00EB6A4C" w:rsidRDefault="00164F56">
            <w:pPr>
              <w:cnfStyle w:val="000000000000" w:firstRow="0" w:lastRow="0" w:firstColumn="0" w:lastColumn="0" w:oddVBand="0" w:evenVBand="0" w:oddHBand="0" w:evenHBand="0" w:firstRowFirstColumn="0" w:firstRowLastColumn="0" w:lastRowFirstColumn="0" w:lastRowLastColumn="0"/>
            </w:pPr>
            <w:r>
              <w:t>81</w:t>
            </w:r>
          </w:p>
        </w:tc>
      </w:tr>
      <w:tr w:rsidR="00EB6A4C" w:rsidTr="00C23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EB6A4C" w:rsidRDefault="00EB6A4C">
            <w:r>
              <w:t>A.Ş</w:t>
            </w:r>
          </w:p>
        </w:tc>
        <w:tc>
          <w:tcPr>
            <w:tcW w:w="4606" w:type="dxa"/>
          </w:tcPr>
          <w:p w:rsidR="00EB6A4C" w:rsidRDefault="00EB6A4C">
            <w:pPr>
              <w:cnfStyle w:val="000000100000" w:firstRow="0" w:lastRow="0" w:firstColumn="0" w:lastColumn="0" w:oddVBand="0" w:evenVBand="0" w:oddHBand="1" w:evenHBand="0" w:firstRowFirstColumn="0" w:firstRowLastColumn="0" w:lastRowFirstColumn="0" w:lastRowLastColumn="0"/>
            </w:pPr>
            <w:r>
              <w:t>1</w:t>
            </w:r>
          </w:p>
        </w:tc>
      </w:tr>
      <w:tr w:rsidR="00EB6A4C" w:rsidTr="00C23098">
        <w:tc>
          <w:tcPr>
            <w:cnfStyle w:val="001000000000" w:firstRow="0" w:lastRow="0" w:firstColumn="1" w:lastColumn="0" w:oddVBand="0" w:evenVBand="0" w:oddHBand="0" w:evenHBand="0" w:firstRowFirstColumn="0" w:firstRowLastColumn="0" w:lastRowFirstColumn="0" w:lastRowLastColumn="0"/>
            <w:tcW w:w="4606" w:type="dxa"/>
          </w:tcPr>
          <w:p w:rsidR="00EB6A4C" w:rsidRDefault="00EB6A4C">
            <w:r>
              <w:t>TOPLAM</w:t>
            </w:r>
          </w:p>
        </w:tc>
        <w:tc>
          <w:tcPr>
            <w:tcW w:w="4606" w:type="dxa"/>
          </w:tcPr>
          <w:p w:rsidR="00EB6A4C" w:rsidRDefault="00164F56">
            <w:pPr>
              <w:cnfStyle w:val="000000000000" w:firstRow="0" w:lastRow="0" w:firstColumn="0" w:lastColumn="0" w:oddVBand="0" w:evenVBand="0" w:oddHBand="0" w:evenHBand="0" w:firstRowFirstColumn="0" w:firstRowLastColumn="0" w:lastRowFirstColumn="0" w:lastRowLastColumn="0"/>
            </w:pPr>
            <w:r>
              <w:t>141</w:t>
            </w:r>
          </w:p>
        </w:tc>
      </w:tr>
    </w:tbl>
    <w:p w:rsidR="00EB6A4C" w:rsidRDefault="00EB6A4C"/>
    <w:p w:rsidR="000B15D8" w:rsidRDefault="000B15D8">
      <w:r>
        <w:rPr>
          <w:noProof/>
          <w:lang w:eastAsia="tr-TR"/>
        </w:rPr>
        <w:drawing>
          <wp:inline distT="0" distB="0" distL="0" distR="0">
            <wp:extent cx="5775156" cy="2427610"/>
            <wp:effectExtent l="19050" t="0" r="16044"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B006A" w:rsidRPr="009B006A" w:rsidRDefault="009B006A" w:rsidP="009B006A">
      <w:pPr>
        <w:jc w:val="both"/>
        <w:rPr>
          <w:sz w:val="24"/>
          <w:szCs w:val="24"/>
        </w:rPr>
      </w:pPr>
      <w:r w:rsidRPr="009B006A">
        <w:rPr>
          <w:sz w:val="24"/>
          <w:szCs w:val="24"/>
        </w:rPr>
        <w:t>Van ili genelinde bulunan toplam levhaya</w:t>
      </w:r>
      <w:r w:rsidR="00164F56">
        <w:rPr>
          <w:sz w:val="24"/>
          <w:szCs w:val="24"/>
        </w:rPr>
        <w:t xml:space="preserve"> kayıtlı sigorta acentesinin %58’i tüzel kişilik iken %42’si</w:t>
      </w:r>
      <w:r w:rsidRPr="009B006A">
        <w:rPr>
          <w:sz w:val="24"/>
          <w:szCs w:val="24"/>
        </w:rPr>
        <w:t xml:space="preserve"> şahıs kaydı bulunan sigorta acentesidir. </w:t>
      </w:r>
    </w:p>
    <w:p w:rsidR="00EB6A4C" w:rsidRPr="009F6281" w:rsidRDefault="00EB6A4C">
      <w:pPr>
        <w:rPr>
          <w:b/>
        </w:rPr>
      </w:pPr>
      <w:r w:rsidRPr="009F6281">
        <w:rPr>
          <w:b/>
        </w:rPr>
        <w:t>FAAL SİGORTA ACENTELERİNİN İLÇE DAĞILIMI</w:t>
      </w:r>
    </w:p>
    <w:tbl>
      <w:tblPr>
        <w:tblStyle w:val="AkListe-Vurgu2"/>
        <w:tblW w:w="0" w:type="auto"/>
        <w:tblLook w:val="04A0" w:firstRow="1" w:lastRow="0" w:firstColumn="1" w:lastColumn="0" w:noHBand="0" w:noVBand="1"/>
      </w:tblPr>
      <w:tblGrid>
        <w:gridCol w:w="4533"/>
        <w:gridCol w:w="4519"/>
      </w:tblGrid>
      <w:tr w:rsidR="00EB6A4C" w:rsidTr="00C23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EB6A4C" w:rsidRDefault="00EB6A4C">
            <w:r>
              <w:t>İLÇELER</w:t>
            </w:r>
          </w:p>
        </w:tc>
        <w:tc>
          <w:tcPr>
            <w:tcW w:w="4606" w:type="dxa"/>
          </w:tcPr>
          <w:p w:rsidR="00EB6A4C" w:rsidRDefault="00EB6A4C">
            <w:pPr>
              <w:cnfStyle w:val="100000000000" w:firstRow="1" w:lastRow="0" w:firstColumn="0" w:lastColumn="0" w:oddVBand="0" w:evenVBand="0" w:oddHBand="0" w:evenHBand="0" w:firstRowFirstColumn="0" w:firstRowLastColumn="0" w:lastRowFirstColumn="0" w:lastRowLastColumn="0"/>
            </w:pPr>
            <w:r>
              <w:t>SAYI</w:t>
            </w:r>
          </w:p>
        </w:tc>
      </w:tr>
      <w:tr w:rsidR="00EB6A4C" w:rsidTr="00C23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EB6A4C" w:rsidRDefault="000B15D8">
            <w:r>
              <w:t>ERCİŞ</w:t>
            </w:r>
          </w:p>
        </w:tc>
        <w:tc>
          <w:tcPr>
            <w:tcW w:w="4606" w:type="dxa"/>
          </w:tcPr>
          <w:p w:rsidR="00EB6A4C" w:rsidRDefault="00164F56">
            <w:pPr>
              <w:cnfStyle w:val="000000100000" w:firstRow="0" w:lastRow="0" w:firstColumn="0" w:lastColumn="0" w:oddVBand="0" w:evenVBand="0" w:oddHBand="1" w:evenHBand="0" w:firstRowFirstColumn="0" w:firstRowLastColumn="0" w:lastRowFirstColumn="0" w:lastRowLastColumn="0"/>
            </w:pPr>
            <w:r>
              <w:t>14</w:t>
            </w:r>
          </w:p>
        </w:tc>
      </w:tr>
      <w:tr w:rsidR="000B15D8" w:rsidTr="00C23098">
        <w:tc>
          <w:tcPr>
            <w:cnfStyle w:val="001000000000" w:firstRow="0" w:lastRow="0" w:firstColumn="1" w:lastColumn="0" w:oddVBand="0" w:evenVBand="0" w:oddHBand="0" w:evenHBand="0" w:firstRowFirstColumn="0" w:firstRowLastColumn="0" w:lastRowFirstColumn="0" w:lastRowLastColumn="0"/>
            <w:tcW w:w="4606" w:type="dxa"/>
          </w:tcPr>
          <w:p w:rsidR="000B15D8" w:rsidRDefault="000B15D8">
            <w:r>
              <w:t>MERKEZ</w:t>
            </w:r>
          </w:p>
        </w:tc>
        <w:tc>
          <w:tcPr>
            <w:tcW w:w="4606" w:type="dxa"/>
          </w:tcPr>
          <w:p w:rsidR="000B15D8" w:rsidRDefault="00164F56">
            <w:pPr>
              <w:cnfStyle w:val="000000000000" w:firstRow="0" w:lastRow="0" w:firstColumn="0" w:lastColumn="0" w:oddVBand="0" w:evenVBand="0" w:oddHBand="0" w:evenHBand="0" w:firstRowFirstColumn="0" w:firstRowLastColumn="0" w:lastRowFirstColumn="0" w:lastRowLastColumn="0"/>
            </w:pPr>
            <w:r>
              <w:t>116</w:t>
            </w:r>
          </w:p>
        </w:tc>
      </w:tr>
      <w:tr w:rsidR="000B15D8" w:rsidTr="00C23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0B15D8" w:rsidRDefault="000B15D8">
            <w:r>
              <w:t>MURADİYE</w:t>
            </w:r>
          </w:p>
        </w:tc>
        <w:tc>
          <w:tcPr>
            <w:tcW w:w="4606" w:type="dxa"/>
          </w:tcPr>
          <w:p w:rsidR="000B15D8" w:rsidRDefault="000B15D8">
            <w:pPr>
              <w:cnfStyle w:val="000000100000" w:firstRow="0" w:lastRow="0" w:firstColumn="0" w:lastColumn="0" w:oddVBand="0" w:evenVBand="0" w:oddHBand="1" w:evenHBand="0" w:firstRowFirstColumn="0" w:firstRowLastColumn="0" w:lastRowFirstColumn="0" w:lastRowLastColumn="0"/>
            </w:pPr>
            <w:r>
              <w:t>2</w:t>
            </w:r>
          </w:p>
        </w:tc>
      </w:tr>
      <w:tr w:rsidR="000B15D8" w:rsidTr="00C23098">
        <w:tc>
          <w:tcPr>
            <w:cnfStyle w:val="001000000000" w:firstRow="0" w:lastRow="0" w:firstColumn="1" w:lastColumn="0" w:oddVBand="0" w:evenVBand="0" w:oddHBand="0" w:evenHBand="0" w:firstRowFirstColumn="0" w:firstRowLastColumn="0" w:lastRowFirstColumn="0" w:lastRowLastColumn="0"/>
            <w:tcW w:w="4606" w:type="dxa"/>
          </w:tcPr>
          <w:p w:rsidR="000B15D8" w:rsidRDefault="000B15D8">
            <w:r>
              <w:t>ÖZALP</w:t>
            </w:r>
          </w:p>
        </w:tc>
        <w:tc>
          <w:tcPr>
            <w:tcW w:w="4606" w:type="dxa"/>
          </w:tcPr>
          <w:p w:rsidR="000B15D8" w:rsidRDefault="00164F56">
            <w:pPr>
              <w:cnfStyle w:val="000000000000" w:firstRow="0" w:lastRow="0" w:firstColumn="0" w:lastColumn="0" w:oddVBand="0" w:evenVBand="0" w:oddHBand="0" w:evenHBand="0" w:firstRowFirstColumn="0" w:firstRowLastColumn="0" w:lastRowFirstColumn="0" w:lastRowLastColumn="0"/>
            </w:pPr>
            <w:r>
              <w:t>4</w:t>
            </w:r>
          </w:p>
        </w:tc>
      </w:tr>
      <w:tr w:rsidR="000B15D8" w:rsidTr="00C23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0B15D8" w:rsidRDefault="000B15D8">
            <w:r>
              <w:t>ÇALDIRAN</w:t>
            </w:r>
          </w:p>
        </w:tc>
        <w:tc>
          <w:tcPr>
            <w:tcW w:w="4606" w:type="dxa"/>
          </w:tcPr>
          <w:p w:rsidR="000B15D8" w:rsidRDefault="00164F56">
            <w:pPr>
              <w:cnfStyle w:val="000000100000" w:firstRow="0" w:lastRow="0" w:firstColumn="0" w:lastColumn="0" w:oddVBand="0" w:evenVBand="0" w:oddHBand="1" w:evenHBand="0" w:firstRowFirstColumn="0" w:firstRowLastColumn="0" w:lastRowFirstColumn="0" w:lastRowLastColumn="0"/>
            </w:pPr>
            <w:r>
              <w:t>4</w:t>
            </w:r>
          </w:p>
        </w:tc>
      </w:tr>
      <w:tr w:rsidR="000B15D8" w:rsidTr="00C23098">
        <w:tc>
          <w:tcPr>
            <w:cnfStyle w:val="001000000000" w:firstRow="0" w:lastRow="0" w:firstColumn="1" w:lastColumn="0" w:oddVBand="0" w:evenVBand="0" w:oddHBand="0" w:evenHBand="0" w:firstRowFirstColumn="0" w:firstRowLastColumn="0" w:lastRowFirstColumn="0" w:lastRowLastColumn="0"/>
            <w:tcW w:w="4606" w:type="dxa"/>
          </w:tcPr>
          <w:p w:rsidR="000B15D8" w:rsidRDefault="000B15D8">
            <w:r>
              <w:t>GEVAŞ</w:t>
            </w:r>
          </w:p>
        </w:tc>
        <w:tc>
          <w:tcPr>
            <w:tcW w:w="4606" w:type="dxa"/>
          </w:tcPr>
          <w:p w:rsidR="000B15D8" w:rsidRDefault="000B15D8">
            <w:pPr>
              <w:cnfStyle w:val="000000000000" w:firstRow="0" w:lastRow="0" w:firstColumn="0" w:lastColumn="0" w:oddVBand="0" w:evenVBand="0" w:oddHBand="0" w:evenHBand="0" w:firstRowFirstColumn="0" w:firstRowLastColumn="0" w:lastRowFirstColumn="0" w:lastRowLastColumn="0"/>
            </w:pPr>
            <w:r>
              <w:t>1</w:t>
            </w:r>
          </w:p>
        </w:tc>
      </w:tr>
      <w:tr w:rsidR="000B15D8" w:rsidTr="00C23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0B15D8" w:rsidRDefault="000B15D8">
            <w:r>
              <w:t>TOPLAM</w:t>
            </w:r>
          </w:p>
        </w:tc>
        <w:tc>
          <w:tcPr>
            <w:tcW w:w="4606" w:type="dxa"/>
          </w:tcPr>
          <w:p w:rsidR="000B15D8" w:rsidRDefault="00164F56">
            <w:pPr>
              <w:cnfStyle w:val="000000100000" w:firstRow="0" w:lastRow="0" w:firstColumn="0" w:lastColumn="0" w:oddVBand="0" w:evenVBand="0" w:oddHBand="1" w:evenHBand="0" w:firstRowFirstColumn="0" w:firstRowLastColumn="0" w:lastRowFirstColumn="0" w:lastRowLastColumn="0"/>
            </w:pPr>
            <w:r>
              <w:t>141</w:t>
            </w:r>
          </w:p>
        </w:tc>
      </w:tr>
    </w:tbl>
    <w:p w:rsidR="000B15D8" w:rsidRDefault="000B15D8"/>
    <w:p w:rsidR="000B15D8" w:rsidRDefault="000B15D8">
      <w:r>
        <w:rPr>
          <w:noProof/>
          <w:lang w:eastAsia="tr-TR"/>
        </w:rPr>
        <w:lastRenderedPageBreak/>
        <w:drawing>
          <wp:inline distT="0" distB="0" distL="0" distR="0">
            <wp:extent cx="5774847" cy="2500439"/>
            <wp:effectExtent l="19050" t="0" r="16353"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B006A" w:rsidRPr="009B006A" w:rsidRDefault="009B006A" w:rsidP="009B006A">
      <w:pPr>
        <w:jc w:val="both"/>
        <w:rPr>
          <w:sz w:val="24"/>
          <w:szCs w:val="24"/>
        </w:rPr>
      </w:pPr>
      <w:r w:rsidRPr="009B006A">
        <w:rPr>
          <w:sz w:val="24"/>
          <w:szCs w:val="24"/>
        </w:rPr>
        <w:t xml:space="preserve">Levhaya kayıtlı sigorta acentelerinin %76’sı Merkez </w:t>
      </w:r>
      <w:r>
        <w:rPr>
          <w:sz w:val="24"/>
          <w:szCs w:val="24"/>
        </w:rPr>
        <w:t>ilçelerinde yer alırken,</w:t>
      </w:r>
      <w:r w:rsidRPr="009B006A">
        <w:rPr>
          <w:sz w:val="24"/>
          <w:szCs w:val="24"/>
        </w:rPr>
        <w:t xml:space="preserve"> %15’i Erciş, %9’u diğer ilçe merkezlerinde yer almaktadır. </w:t>
      </w:r>
    </w:p>
    <w:p w:rsidR="000B15D8" w:rsidRPr="009F6281" w:rsidRDefault="00916DF7">
      <w:pPr>
        <w:rPr>
          <w:b/>
        </w:rPr>
      </w:pPr>
      <w:r w:rsidRPr="009F6281">
        <w:rPr>
          <w:b/>
        </w:rPr>
        <w:t>LEVHA KAYIT TARİHİNE GÖRE FAAL ACENTE SAYISI</w:t>
      </w:r>
    </w:p>
    <w:tbl>
      <w:tblPr>
        <w:tblStyle w:val="AkListe-Vurgu2"/>
        <w:tblW w:w="0" w:type="auto"/>
        <w:tblLook w:val="04A0" w:firstRow="1" w:lastRow="0" w:firstColumn="1" w:lastColumn="0" w:noHBand="0" w:noVBand="1"/>
      </w:tblPr>
      <w:tblGrid>
        <w:gridCol w:w="4528"/>
        <w:gridCol w:w="4524"/>
      </w:tblGrid>
      <w:tr w:rsidR="00916DF7" w:rsidTr="00C23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916DF7" w:rsidRDefault="00916DF7">
            <w:r>
              <w:t>YILLAR</w:t>
            </w:r>
          </w:p>
        </w:tc>
        <w:tc>
          <w:tcPr>
            <w:tcW w:w="4606" w:type="dxa"/>
          </w:tcPr>
          <w:p w:rsidR="00916DF7" w:rsidRDefault="00916DF7">
            <w:pPr>
              <w:cnfStyle w:val="100000000000" w:firstRow="1" w:lastRow="0" w:firstColumn="0" w:lastColumn="0" w:oddVBand="0" w:evenVBand="0" w:oddHBand="0" w:evenHBand="0" w:firstRowFirstColumn="0" w:firstRowLastColumn="0" w:lastRowFirstColumn="0" w:lastRowLastColumn="0"/>
            </w:pPr>
            <w:r>
              <w:t>SAYI</w:t>
            </w:r>
          </w:p>
        </w:tc>
      </w:tr>
      <w:tr w:rsidR="00916DF7" w:rsidTr="00C23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916DF7" w:rsidRDefault="00916DF7">
            <w:r>
              <w:t>2009</w:t>
            </w:r>
          </w:p>
        </w:tc>
        <w:tc>
          <w:tcPr>
            <w:tcW w:w="4606" w:type="dxa"/>
          </w:tcPr>
          <w:p w:rsidR="00916DF7" w:rsidRDefault="00916DF7">
            <w:pPr>
              <w:cnfStyle w:val="000000100000" w:firstRow="0" w:lastRow="0" w:firstColumn="0" w:lastColumn="0" w:oddVBand="0" w:evenVBand="0" w:oddHBand="1" w:evenHBand="0" w:firstRowFirstColumn="0" w:firstRowLastColumn="0" w:lastRowFirstColumn="0" w:lastRowLastColumn="0"/>
            </w:pPr>
            <w:r>
              <w:t>67</w:t>
            </w:r>
          </w:p>
        </w:tc>
      </w:tr>
      <w:tr w:rsidR="00916DF7" w:rsidTr="00C23098">
        <w:tc>
          <w:tcPr>
            <w:cnfStyle w:val="001000000000" w:firstRow="0" w:lastRow="0" w:firstColumn="1" w:lastColumn="0" w:oddVBand="0" w:evenVBand="0" w:oddHBand="0" w:evenHBand="0" w:firstRowFirstColumn="0" w:firstRowLastColumn="0" w:lastRowFirstColumn="0" w:lastRowLastColumn="0"/>
            <w:tcW w:w="4606" w:type="dxa"/>
          </w:tcPr>
          <w:p w:rsidR="00916DF7" w:rsidRDefault="00916DF7">
            <w:r>
              <w:t>2010</w:t>
            </w:r>
          </w:p>
        </w:tc>
        <w:tc>
          <w:tcPr>
            <w:tcW w:w="4606" w:type="dxa"/>
          </w:tcPr>
          <w:p w:rsidR="00916DF7" w:rsidRDefault="00916DF7">
            <w:pPr>
              <w:cnfStyle w:val="000000000000" w:firstRow="0" w:lastRow="0" w:firstColumn="0" w:lastColumn="0" w:oddVBand="0" w:evenVBand="0" w:oddHBand="0" w:evenHBand="0" w:firstRowFirstColumn="0" w:firstRowLastColumn="0" w:lastRowFirstColumn="0" w:lastRowLastColumn="0"/>
            </w:pPr>
            <w:r>
              <w:t>7</w:t>
            </w:r>
          </w:p>
        </w:tc>
      </w:tr>
      <w:tr w:rsidR="00916DF7" w:rsidTr="00C23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916DF7" w:rsidRDefault="00916DF7">
            <w:r>
              <w:t>2011</w:t>
            </w:r>
          </w:p>
        </w:tc>
        <w:tc>
          <w:tcPr>
            <w:tcW w:w="4606" w:type="dxa"/>
          </w:tcPr>
          <w:p w:rsidR="00916DF7" w:rsidRDefault="00916DF7">
            <w:pPr>
              <w:cnfStyle w:val="000000100000" w:firstRow="0" w:lastRow="0" w:firstColumn="0" w:lastColumn="0" w:oddVBand="0" w:evenVBand="0" w:oddHBand="1" w:evenHBand="0" w:firstRowFirstColumn="0" w:firstRowLastColumn="0" w:lastRowFirstColumn="0" w:lastRowLastColumn="0"/>
            </w:pPr>
            <w:r>
              <w:t>2</w:t>
            </w:r>
          </w:p>
        </w:tc>
      </w:tr>
      <w:tr w:rsidR="00916DF7" w:rsidTr="00C23098">
        <w:tc>
          <w:tcPr>
            <w:cnfStyle w:val="001000000000" w:firstRow="0" w:lastRow="0" w:firstColumn="1" w:lastColumn="0" w:oddVBand="0" w:evenVBand="0" w:oddHBand="0" w:evenHBand="0" w:firstRowFirstColumn="0" w:firstRowLastColumn="0" w:lastRowFirstColumn="0" w:lastRowLastColumn="0"/>
            <w:tcW w:w="4606" w:type="dxa"/>
          </w:tcPr>
          <w:p w:rsidR="00916DF7" w:rsidRDefault="00916DF7">
            <w:r>
              <w:t>2012</w:t>
            </w:r>
          </w:p>
        </w:tc>
        <w:tc>
          <w:tcPr>
            <w:tcW w:w="4606" w:type="dxa"/>
          </w:tcPr>
          <w:p w:rsidR="00916DF7" w:rsidRDefault="00916DF7">
            <w:pPr>
              <w:cnfStyle w:val="000000000000" w:firstRow="0" w:lastRow="0" w:firstColumn="0" w:lastColumn="0" w:oddVBand="0" w:evenVBand="0" w:oddHBand="0" w:evenHBand="0" w:firstRowFirstColumn="0" w:firstRowLastColumn="0" w:lastRowFirstColumn="0" w:lastRowLastColumn="0"/>
            </w:pPr>
            <w:r>
              <w:t>6</w:t>
            </w:r>
          </w:p>
        </w:tc>
      </w:tr>
      <w:tr w:rsidR="00916DF7" w:rsidTr="00C23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916DF7" w:rsidRDefault="00916DF7">
            <w:r>
              <w:t>2013</w:t>
            </w:r>
          </w:p>
        </w:tc>
        <w:tc>
          <w:tcPr>
            <w:tcW w:w="4606" w:type="dxa"/>
          </w:tcPr>
          <w:p w:rsidR="00916DF7" w:rsidRDefault="00916DF7">
            <w:pPr>
              <w:cnfStyle w:val="000000100000" w:firstRow="0" w:lastRow="0" w:firstColumn="0" w:lastColumn="0" w:oddVBand="0" w:evenVBand="0" w:oddHBand="1" w:evenHBand="0" w:firstRowFirstColumn="0" w:firstRowLastColumn="0" w:lastRowFirstColumn="0" w:lastRowLastColumn="0"/>
            </w:pPr>
            <w:r>
              <w:t>5</w:t>
            </w:r>
          </w:p>
        </w:tc>
      </w:tr>
      <w:tr w:rsidR="00916DF7" w:rsidTr="00C23098">
        <w:tc>
          <w:tcPr>
            <w:cnfStyle w:val="001000000000" w:firstRow="0" w:lastRow="0" w:firstColumn="1" w:lastColumn="0" w:oddVBand="0" w:evenVBand="0" w:oddHBand="0" w:evenHBand="0" w:firstRowFirstColumn="0" w:firstRowLastColumn="0" w:lastRowFirstColumn="0" w:lastRowLastColumn="0"/>
            <w:tcW w:w="4606" w:type="dxa"/>
          </w:tcPr>
          <w:p w:rsidR="00916DF7" w:rsidRDefault="00916DF7">
            <w:r>
              <w:t>2014</w:t>
            </w:r>
          </w:p>
        </w:tc>
        <w:tc>
          <w:tcPr>
            <w:tcW w:w="4606" w:type="dxa"/>
          </w:tcPr>
          <w:p w:rsidR="00916DF7" w:rsidRDefault="00916DF7">
            <w:pPr>
              <w:cnfStyle w:val="000000000000" w:firstRow="0" w:lastRow="0" w:firstColumn="0" w:lastColumn="0" w:oddVBand="0" w:evenVBand="0" w:oddHBand="0" w:evenHBand="0" w:firstRowFirstColumn="0" w:firstRowLastColumn="0" w:lastRowFirstColumn="0" w:lastRowLastColumn="0"/>
            </w:pPr>
            <w:r>
              <w:t>5</w:t>
            </w:r>
          </w:p>
        </w:tc>
      </w:tr>
      <w:tr w:rsidR="00916DF7" w:rsidTr="00C23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916DF7" w:rsidRDefault="00916DF7">
            <w:r>
              <w:t>2015</w:t>
            </w:r>
          </w:p>
        </w:tc>
        <w:tc>
          <w:tcPr>
            <w:tcW w:w="4606" w:type="dxa"/>
          </w:tcPr>
          <w:p w:rsidR="00916DF7" w:rsidRDefault="00916DF7">
            <w:pPr>
              <w:cnfStyle w:val="000000100000" w:firstRow="0" w:lastRow="0" w:firstColumn="0" w:lastColumn="0" w:oddVBand="0" w:evenVBand="0" w:oddHBand="1" w:evenHBand="0" w:firstRowFirstColumn="0" w:firstRowLastColumn="0" w:lastRowFirstColumn="0" w:lastRowLastColumn="0"/>
            </w:pPr>
            <w:r>
              <w:t>7</w:t>
            </w:r>
          </w:p>
        </w:tc>
      </w:tr>
      <w:tr w:rsidR="00916DF7" w:rsidTr="00C23098">
        <w:tc>
          <w:tcPr>
            <w:cnfStyle w:val="001000000000" w:firstRow="0" w:lastRow="0" w:firstColumn="1" w:lastColumn="0" w:oddVBand="0" w:evenVBand="0" w:oddHBand="0" w:evenHBand="0" w:firstRowFirstColumn="0" w:firstRowLastColumn="0" w:lastRowFirstColumn="0" w:lastRowLastColumn="0"/>
            <w:tcW w:w="4606" w:type="dxa"/>
          </w:tcPr>
          <w:p w:rsidR="00916DF7" w:rsidRDefault="00916DF7">
            <w:r>
              <w:t>2016</w:t>
            </w:r>
          </w:p>
        </w:tc>
        <w:tc>
          <w:tcPr>
            <w:tcW w:w="4606" w:type="dxa"/>
          </w:tcPr>
          <w:p w:rsidR="00916DF7" w:rsidRDefault="00916DF7">
            <w:pPr>
              <w:cnfStyle w:val="000000000000" w:firstRow="0" w:lastRow="0" w:firstColumn="0" w:lastColumn="0" w:oddVBand="0" w:evenVBand="0" w:oddHBand="0" w:evenHBand="0" w:firstRowFirstColumn="0" w:firstRowLastColumn="0" w:lastRowFirstColumn="0" w:lastRowLastColumn="0"/>
            </w:pPr>
            <w:r>
              <w:t>7</w:t>
            </w:r>
          </w:p>
        </w:tc>
      </w:tr>
      <w:tr w:rsidR="00164F56" w:rsidTr="00C23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164F56" w:rsidRDefault="00164F56">
            <w:r>
              <w:t>2017</w:t>
            </w:r>
          </w:p>
        </w:tc>
        <w:tc>
          <w:tcPr>
            <w:tcW w:w="4606" w:type="dxa"/>
          </w:tcPr>
          <w:p w:rsidR="00164F56" w:rsidRDefault="00F6700D">
            <w:pPr>
              <w:cnfStyle w:val="000000100000" w:firstRow="0" w:lastRow="0" w:firstColumn="0" w:lastColumn="0" w:oddVBand="0" w:evenVBand="0" w:oddHBand="1" w:evenHBand="0" w:firstRowFirstColumn="0" w:firstRowLastColumn="0" w:lastRowFirstColumn="0" w:lastRowLastColumn="0"/>
            </w:pPr>
            <w:r>
              <w:t>15</w:t>
            </w:r>
          </w:p>
        </w:tc>
      </w:tr>
      <w:tr w:rsidR="00164F56" w:rsidTr="00C23098">
        <w:tc>
          <w:tcPr>
            <w:cnfStyle w:val="001000000000" w:firstRow="0" w:lastRow="0" w:firstColumn="1" w:lastColumn="0" w:oddVBand="0" w:evenVBand="0" w:oddHBand="0" w:evenHBand="0" w:firstRowFirstColumn="0" w:firstRowLastColumn="0" w:lastRowFirstColumn="0" w:lastRowLastColumn="0"/>
            <w:tcW w:w="4606" w:type="dxa"/>
          </w:tcPr>
          <w:p w:rsidR="00164F56" w:rsidRDefault="00164F56">
            <w:r>
              <w:t>2018</w:t>
            </w:r>
          </w:p>
        </w:tc>
        <w:tc>
          <w:tcPr>
            <w:tcW w:w="4606" w:type="dxa"/>
          </w:tcPr>
          <w:p w:rsidR="00164F56" w:rsidRDefault="00F6700D">
            <w:pPr>
              <w:cnfStyle w:val="000000000000" w:firstRow="0" w:lastRow="0" w:firstColumn="0" w:lastColumn="0" w:oddVBand="0" w:evenVBand="0" w:oddHBand="0" w:evenHBand="0" w:firstRowFirstColumn="0" w:firstRowLastColumn="0" w:lastRowFirstColumn="0" w:lastRowLastColumn="0"/>
            </w:pPr>
            <w:r>
              <w:t>13</w:t>
            </w:r>
          </w:p>
        </w:tc>
      </w:tr>
      <w:tr w:rsidR="00164F56" w:rsidTr="00C23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164F56" w:rsidRDefault="00164F56">
            <w:r>
              <w:t>2019</w:t>
            </w:r>
          </w:p>
        </w:tc>
        <w:tc>
          <w:tcPr>
            <w:tcW w:w="4606" w:type="dxa"/>
          </w:tcPr>
          <w:p w:rsidR="00164F56" w:rsidRDefault="00164F56">
            <w:pPr>
              <w:cnfStyle w:val="000000100000" w:firstRow="0" w:lastRow="0" w:firstColumn="0" w:lastColumn="0" w:oddVBand="0" w:evenVBand="0" w:oddHBand="1" w:evenHBand="0" w:firstRowFirstColumn="0" w:firstRowLastColumn="0" w:lastRowFirstColumn="0" w:lastRowLastColumn="0"/>
            </w:pPr>
            <w:r>
              <w:t>15</w:t>
            </w:r>
          </w:p>
        </w:tc>
      </w:tr>
    </w:tbl>
    <w:p w:rsidR="009F6281" w:rsidRDefault="009F6281"/>
    <w:p w:rsidR="009B006A" w:rsidRDefault="009B006A" w:rsidP="00C95B1F">
      <w:pPr>
        <w:jc w:val="both"/>
      </w:pPr>
      <w:r w:rsidRPr="00C95B1F">
        <w:rPr>
          <w:sz w:val="24"/>
          <w:szCs w:val="24"/>
        </w:rPr>
        <w:t xml:space="preserve">2008 yılında sigortacılık kanununda yapılan değişiklikten sonra sigorta acentelerinin TOBB sigortacılık levha kaydı yaptırmaları zorunlu hale getirilmiştir. </w:t>
      </w:r>
      <w:r w:rsidR="00C95B1F" w:rsidRPr="00C95B1F">
        <w:rPr>
          <w:sz w:val="24"/>
          <w:szCs w:val="24"/>
        </w:rPr>
        <w:t>Kanunda yapılan değişiklikten sonraki yıl</w:t>
      </w:r>
      <w:r w:rsidRPr="00C95B1F">
        <w:rPr>
          <w:sz w:val="24"/>
          <w:szCs w:val="24"/>
        </w:rPr>
        <w:t xml:space="preserve"> Van ilind</w:t>
      </w:r>
      <w:r w:rsidR="00C95B1F" w:rsidRPr="00C95B1F">
        <w:rPr>
          <w:sz w:val="24"/>
          <w:szCs w:val="24"/>
        </w:rPr>
        <w:t xml:space="preserve">e levhaya kayıtlı acente sayısında büyük bir artış olmuştur. </w:t>
      </w:r>
      <w:r w:rsidR="00F6700D" w:rsidRPr="00C95B1F">
        <w:rPr>
          <w:sz w:val="24"/>
          <w:szCs w:val="24"/>
        </w:rPr>
        <w:t>Diğer</w:t>
      </w:r>
      <w:r w:rsidR="00C95B1F" w:rsidRPr="00C95B1F">
        <w:rPr>
          <w:sz w:val="24"/>
          <w:szCs w:val="24"/>
        </w:rPr>
        <w:t xml:space="preserve"> yıllarda yapılan yeni levha kayıtları ile birlikte Van ilinde faa</w:t>
      </w:r>
      <w:r w:rsidR="00F6700D">
        <w:rPr>
          <w:sz w:val="24"/>
          <w:szCs w:val="24"/>
        </w:rPr>
        <w:t>liyet gösteren acente sayısı 141’si</w:t>
      </w:r>
      <w:r w:rsidR="00C95B1F" w:rsidRPr="00C95B1F">
        <w:rPr>
          <w:sz w:val="24"/>
          <w:szCs w:val="24"/>
        </w:rPr>
        <w:t xml:space="preserve"> bulmuştur</w:t>
      </w:r>
      <w:r w:rsidR="00C95B1F">
        <w:t xml:space="preserve">.  </w:t>
      </w:r>
    </w:p>
    <w:p w:rsidR="002B38A7" w:rsidRDefault="002B38A7" w:rsidP="00C95B1F">
      <w:pPr>
        <w:jc w:val="both"/>
      </w:pPr>
    </w:p>
    <w:p w:rsidR="002B38A7" w:rsidRDefault="002B38A7" w:rsidP="00C95B1F">
      <w:pPr>
        <w:jc w:val="both"/>
      </w:pPr>
    </w:p>
    <w:p w:rsidR="002B38A7" w:rsidRDefault="002B38A7" w:rsidP="00C95B1F">
      <w:pPr>
        <w:jc w:val="both"/>
      </w:pPr>
    </w:p>
    <w:p w:rsidR="002B38A7" w:rsidRDefault="002B38A7" w:rsidP="00C95B1F">
      <w:pPr>
        <w:jc w:val="both"/>
      </w:pPr>
    </w:p>
    <w:p w:rsidR="002B38A7" w:rsidRPr="002B38A7" w:rsidRDefault="002B38A7" w:rsidP="00C95B1F">
      <w:pPr>
        <w:jc w:val="both"/>
        <w:rPr>
          <w:b/>
          <w:sz w:val="24"/>
          <w:szCs w:val="24"/>
        </w:rPr>
      </w:pPr>
      <w:r w:rsidRPr="002B38A7">
        <w:rPr>
          <w:b/>
          <w:sz w:val="24"/>
          <w:szCs w:val="24"/>
        </w:rPr>
        <w:lastRenderedPageBreak/>
        <w:t>ÇALIŞAN SAYISI</w:t>
      </w:r>
    </w:p>
    <w:p w:rsidR="002B38A7" w:rsidRDefault="002B38A7" w:rsidP="00C95B1F">
      <w:pPr>
        <w:jc w:val="both"/>
      </w:pPr>
      <w:r>
        <w:rPr>
          <w:noProof/>
          <w:lang w:eastAsia="tr-TR"/>
        </w:rPr>
        <w:drawing>
          <wp:inline distT="0" distB="0" distL="0" distR="0">
            <wp:extent cx="5486400" cy="3200400"/>
            <wp:effectExtent l="19050" t="0" r="19050"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C95B1F" w:rsidRDefault="00F6700D">
      <w:r>
        <w:t>Toplam sigorta acentelerinde 141 müdür ve 85</w:t>
      </w:r>
      <w:r w:rsidR="002B38A7">
        <w:t xml:space="preserve"> teknik personel görev yapmaktadır. </w:t>
      </w:r>
    </w:p>
    <w:p w:rsidR="008C1CFC" w:rsidRDefault="009F6281">
      <w:r>
        <w:rPr>
          <w:noProof/>
          <w:lang w:eastAsia="tr-TR"/>
        </w:rPr>
        <w:drawing>
          <wp:inline distT="0" distB="0" distL="0" distR="0">
            <wp:extent cx="5775156" cy="3204446"/>
            <wp:effectExtent l="19050" t="0" r="16044"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8C1CFC" w:rsidRPr="00C95B1F" w:rsidRDefault="008C1CFC" w:rsidP="00C95B1F">
      <w:pPr>
        <w:jc w:val="both"/>
        <w:rPr>
          <w:sz w:val="24"/>
          <w:szCs w:val="24"/>
        </w:rPr>
      </w:pPr>
      <w:r w:rsidRPr="00C95B1F">
        <w:rPr>
          <w:sz w:val="24"/>
          <w:szCs w:val="24"/>
        </w:rPr>
        <w:t>Türkiye genelinde sigortacılık levha kaydı bulunan toplam 15.</w:t>
      </w:r>
      <w:r w:rsidR="00F6700D">
        <w:rPr>
          <w:sz w:val="24"/>
          <w:szCs w:val="24"/>
        </w:rPr>
        <w:t>978</w:t>
      </w:r>
      <w:r w:rsidRPr="00C95B1F">
        <w:rPr>
          <w:sz w:val="24"/>
          <w:szCs w:val="24"/>
        </w:rPr>
        <w:t xml:space="preserve"> sigorta acentesi bulunmaktadır. </w:t>
      </w:r>
      <w:r w:rsidR="00C95B1F" w:rsidRPr="00C95B1F">
        <w:rPr>
          <w:sz w:val="24"/>
          <w:szCs w:val="24"/>
        </w:rPr>
        <w:t xml:space="preserve">Van ili nüfusuna yakın illerde levhaya kayıtlı acente sayısının benzer olduğu görülmektedir. </w:t>
      </w:r>
    </w:p>
    <w:sectPr w:rsidR="008C1CFC" w:rsidRPr="00C95B1F" w:rsidSect="00C95B1F">
      <w:headerReference w:type="default" r:id="rId3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D0B" w:rsidRDefault="00372D0B" w:rsidP="009F6281">
      <w:pPr>
        <w:spacing w:after="0" w:line="240" w:lineRule="auto"/>
      </w:pPr>
      <w:r>
        <w:separator/>
      </w:r>
    </w:p>
  </w:endnote>
  <w:endnote w:type="continuationSeparator" w:id="0">
    <w:p w:rsidR="00372D0B" w:rsidRDefault="00372D0B" w:rsidP="009F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D0B" w:rsidRDefault="00372D0B" w:rsidP="009F6281">
      <w:pPr>
        <w:spacing w:after="0" w:line="240" w:lineRule="auto"/>
      </w:pPr>
      <w:r>
        <w:separator/>
      </w:r>
    </w:p>
  </w:footnote>
  <w:footnote w:type="continuationSeparator" w:id="0">
    <w:p w:rsidR="00372D0B" w:rsidRDefault="00372D0B" w:rsidP="009F6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Look w:val="04A0" w:firstRow="1" w:lastRow="0" w:firstColumn="1" w:lastColumn="0" w:noHBand="0" w:noVBand="1"/>
    </w:tblPr>
    <w:tblGrid>
      <w:gridCol w:w="2890"/>
      <w:gridCol w:w="792"/>
    </w:tblGrid>
    <w:tr w:rsidR="00C95B1F">
      <w:trPr>
        <w:trHeight w:hRule="exact" w:val="792"/>
        <w:jc w:val="right"/>
      </w:trPr>
      <w:sdt>
        <w:sdtPr>
          <w:rPr>
            <w:rFonts w:asciiTheme="majorHAnsi" w:eastAsiaTheme="majorEastAsia" w:hAnsiTheme="majorHAnsi" w:cstheme="majorBidi"/>
            <w:sz w:val="28"/>
            <w:szCs w:val="28"/>
          </w:rPr>
          <w:alias w:val="Başlık"/>
          <w:id w:val="23771477"/>
          <w:dataBinding w:prefixMappings="xmlns:ns0='http://schemas.openxmlformats.org/package/2006/metadata/core-properties' xmlns:ns1='http://purl.org/dc/elements/1.1/'" w:xpath="/ns0:coreProperties[1]/ns1:title[1]" w:storeItemID="{6C3C8BC8-F283-45AE-878A-BAB7291924A1}"/>
          <w:text/>
        </w:sdtPr>
        <w:sdtEndPr/>
        <w:sdtContent>
          <w:tc>
            <w:tcPr>
              <w:tcW w:w="0" w:type="auto"/>
              <w:vAlign w:val="center"/>
            </w:tcPr>
            <w:p w:rsidR="00C95B1F" w:rsidRDefault="00F6700D">
              <w:pPr>
                <w:pStyle w:val="stbilgi"/>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SİGORTA ACENTELİĞİ</w:t>
              </w:r>
            </w:p>
          </w:tc>
        </w:sdtContent>
      </w:sdt>
      <w:tc>
        <w:tcPr>
          <w:tcW w:w="792" w:type="dxa"/>
          <w:shd w:val="clear" w:color="auto" w:fill="C0504D" w:themeFill="accent2"/>
          <w:vAlign w:val="center"/>
        </w:tcPr>
        <w:p w:rsidR="00C95B1F" w:rsidRDefault="00030334">
          <w:pPr>
            <w:pStyle w:val="stbilgi"/>
            <w:jc w:val="center"/>
            <w:rPr>
              <w:color w:val="FFFFFF" w:themeColor="background1"/>
            </w:rPr>
          </w:pPr>
          <w:r>
            <w:rPr>
              <w:noProof/>
              <w:color w:val="FFFFFF" w:themeColor="background1"/>
            </w:rPr>
            <w:fldChar w:fldCharType="begin"/>
          </w:r>
          <w:r>
            <w:rPr>
              <w:noProof/>
              <w:color w:val="FFFFFF" w:themeColor="background1"/>
            </w:rPr>
            <w:instrText xml:space="preserve"> PAGE  \* MERGEFORMAT </w:instrText>
          </w:r>
          <w:r>
            <w:rPr>
              <w:noProof/>
              <w:color w:val="FFFFFF" w:themeColor="background1"/>
            </w:rPr>
            <w:fldChar w:fldCharType="separate"/>
          </w:r>
          <w:r w:rsidR="007C52A0">
            <w:rPr>
              <w:noProof/>
              <w:color w:val="FFFFFF" w:themeColor="background1"/>
            </w:rPr>
            <w:t>7</w:t>
          </w:r>
          <w:r>
            <w:rPr>
              <w:noProof/>
              <w:color w:val="FFFFFF" w:themeColor="background1"/>
            </w:rPr>
            <w:fldChar w:fldCharType="end"/>
          </w:r>
        </w:p>
      </w:tc>
    </w:tr>
  </w:tbl>
  <w:p w:rsidR="009F6281" w:rsidRDefault="009F628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10F53"/>
    <w:multiLevelType w:val="hybridMultilevel"/>
    <w:tmpl w:val="0D3044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B3C5A22"/>
    <w:multiLevelType w:val="multilevel"/>
    <w:tmpl w:val="4B767CC8"/>
    <w:lvl w:ilvl="0">
      <w:start w:val="1"/>
      <w:numFmt w:val="bullet"/>
      <w:lvlText w:val=""/>
      <w:lvlJc w:val="left"/>
      <w:pPr>
        <w:tabs>
          <w:tab w:val="num" w:pos="1104"/>
        </w:tabs>
        <w:ind w:left="1104" w:hanging="360"/>
      </w:pPr>
      <w:rPr>
        <w:rFonts w:ascii="Symbol" w:hAnsi="Symbol" w:hint="default"/>
        <w:sz w:val="20"/>
      </w:rPr>
    </w:lvl>
    <w:lvl w:ilvl="1">
      <w:start w:val="1"/>
      <w:numFmt w:val="bullet"/>
      <w:lvlText w:val=""/>
      <w:lvlJc w:val="left"/>
      <w:pPr>
        <w:tabs>
          <w:tab w:val="num" w:pos="1824"/>
        </w:tabs>
        <w:ind w:left="1824" w:hanging="360"/>
      </w:pPr>
      <w:rPr>
        <w:rFonts w:ascii="Symbol" w:hAnsi="Symbol" w:hint="default"/>
        <w:sz w:val="20"/>
      </w:rPr>
    </w:lvl>
    <w:lvl w:ilvl="2" w:tentative="1">
      <w:start w:val="1"/>
      <w:numFmt w:val="bullet"/>
      <w:lvlText w:val=""/>
      <w:lvlJc w:val="left"/>
      <w:pPr>
        <w:tabs>
          <w:tab w:val="num" w:pos="2544"/>
        </w:tabs>
        <w:ind w:left="2544" w:hanging="360"/>
      </w:pPr>
      <w:rPr>
        <w:rFonts w:ascii="Symbol" w:hAnsi="Symbol" w:hint="default"/>
        <w:sz w:val="20"/>
      </w:rPr>
    </w:lvl>
    <w:lvl w:ilvl="3" w:tentative="1">
      <w:start w:val="1"/>
      <w:numFmt w:val="bullet"/>
      <w:lvlText w:val=""/>
      <w:lvlJc w:val="left"/>
      <w:pPr>
        <w:tabs>
          <w:tab w:val="num" w:pos="3264"/>
        </w:tabs>
        <w:ind w:left="3264" w:hanging="360"/>
      </w:pPr>
      <w:rPr>
        <w:rFonts w:ascii="Symbol" w:hAnsi="Symbol" w:hint="default"/>
        <w:sz w:val="20"/>
      </w:rPr>
    </w:lvl>
    <w:lvl w:ilvl="4" w:tentative="1">
      <w:start w:val="1"/>
      <w:numFmt w:val="bullet"/>
      <w:lvlText w:val=""/>
      <w:lvlJc w:val="left"/>
      <w:pPr>
        <w:tabs>
          <w:tab w:val="num" w:pos="3984"/>
        </w:tabs>
        <w:ind w:left="3984" w:hanging="360"/>
      </w:pPr>
      <w:rPr>
        <w:rFonts w:ascii="Symbol" w:hAnsi="Symbol" w:hint="default"/>
        <w:sz w:val="20"/>
      </w:rPr>
    </w:lvl>
    <w:lvl w:ilvl="5" w:tentative="1">
      <w:start w:val="1"/>
      <w:numFmt w:val="bullet"/>
      <w:lvlText w:val=""/>
      <w:lvlJc w:val="left"/>
      <w:pPr>
        <w:tabs>
          <w:tab w:val="num" w:pos="4704"/>
        </w:tabs>
        <w:ind w:left="4704" w:hanging="360"/>
      </w:pPr>
      <w:rPr>
        <w:rFonts w:ascii="Symbol" w:hAnsi="Symbol" w:hint="default"/>
        <w:sz w:val="20"/>
      </w:rPr>
    </w:lvl>
    <w:lvl w:ilvl="6" w:tentative="1">
      <w:start w:val="1"/>
      <w:numFmt w:val="bullet"/>
      <w:lvlText w:val=""/>
      <w:lvlJc w:val="left"/>
      <w:pPr>
        <w:tabs>
          <w:tab w:val="num" w:pos="5424"/>
        </w:tabs>
        <w:ind w:left="5424" w:hanging="360"/>
      </w:pPr>
      <w:rPr>
        <w:rFonts w:ascii="Symbol" w:hAnsi="Symbol" w:hint="default"/>
        <w:sz w:val="20"/>
      </w:rPr>
    </w:lvl>
    <w:lvl w:ilvl="7" w:tentative="1">
      <w:start w:val="1"/>
      <w:numFmt w:val="bullet"/>
      <w:lvlText w:val=""/>
      <w:lvlJc w:val="left"/>
      <w:pPr>
        <w:tabs>
          <w:tab w:val="num" w:pos="6144"/>
        </w:tabs>
        <w:ind w:left="6144" w:hanging="360"/>
      </w:pPr>
      <w:rPr>
        <w:rFonts w:ascii="Symbol" w:hAnsi="Symbol" w:hint="default"/>
        <w:sz w:val="20"/>
      </w:rPr>
    </w:lvl>
    <w:lvl w:ilvl="8" w:tentative="1">
      <w:start w:val="1"/>
      <w:numFmt w:val="bullet"/>
      <w:lvlText w:val=""/>
      <w:lvlJc w:val="left"/>
      <w:pPr>
        <w:tabs>
          <w:tab w:val="num" w:pos="6864"/>
        </w:tabs>
        <w:ind w:left="6864" w:hanging="360"/>
      </w:pPr>
      <w:rPr>
        <w:rFonts w:ascii="Symbol" w:hAnsi="Symbol" w:hint="default"/>
        <w:sz w:val="20"/>
      </w:rPr>
    </w:lvl>
  </w:abstractNum>
  <w:abstractNum w:abstractNumId="2" w15:restartNumberingAfterBreak="0">
    <w:nsid w:val="5D346EB7"/>
    <w:multiLevelType w:val="hybridMultilevel"/>
    <w:tmpl w:val="CEC048AC"/>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1440" w:hanging="360"/>
      </w:pPr>
      <w:rPr>
        <w:rFonts w:ascii="Wingdings" w:hAnsi="Wingdings"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4C"/>
    <w:rsid w:val="00030334"/>
    <w:rsid w:val="000460C0"/>
    <w:rsid w:val="000B15D8"/>
    <w:rsid w:val="00164F56"/>
    <w:rsid w:val="002264D2"/>
    <w:rsid w:val="002B38A7"/>
    <w:rsid w:val="002F2C4B"/>
    <w:rsid w:val="00372D0B"/>
    <w:rsid w:val="00423A3B"/>
    <w:rsid w:val="004932DE"/>
    <w:rsid w:val="004D5074"/>
    <w:rsid w:val="00587CA1"/>
    <w:rsid w:val="007026EC"/>
    <w:rsid w:val="00770622"/>
    <w:rsid w:val="007C52A0"/>
    <w:rsid w:val="008450BE"/>
    <w:rsid w:val="008556B9"/>
    <w:rsid w:val="008C1CFC"/>
    <w:rsid w:val="00903B33"/>
    <w:rsid w:val="00916DF7"/>
    <w:rsid w:val="009211FA"/>
    <w:rsid w:val="00964FAE"/>
    <w:rsid w:val="00993153"/>
    <w:rsid w:val="009A2AFF"/>
    <w:rsid w:val="009B006A"/>
    <w:rsid w:val="009F6281"/>
    <w:rsid w:val="00A23495"/>
    <w:rsid w:val="00A6639B"/>
    <w:rsid w:val="00AA0198"/>
    <w:rsid w:val="00B640D9"/>
    <w:rsid w:val="00BD0754"/>
    <w:rsid w:val="00C23098"/>
    <w:rsid w:val="00C4596D"/>
    <w:rsid w:val="00C95B1F"/>
    <w:rsid w:val="00CA31F4"/>
    <w:rsid w:val="00D055C2"/>
    <w:rsid w:val="00D30268"/>
    <w:rsid w:val="00E11C02"/>
    <w:rsid w:val="00EB6A4C"/>
    <w:rsid w:val="00ED18E8"/>
    <w:rsid w:val="00F00DF1"/>
    <w:rsid w:val="00F1773B"/>
    <w:rsid w:val="00F670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1AFEBA-8B12-4394-A5F7-7875047D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A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OrtaGlgeleme1-Vurgu11">
    <w:name w:val="Orta Gölgeleme 1 - Vurgu 11"/>
    <w:basedOn w:val="AkListe-Vurgu11"/>
    <w:uiPriority w:val="63"/>
    <w:rsid w:val="002F2C4B"/>
    <w:pPr>
      <w:jc w:val="center"/>
    </w:pPr>
    <w:rPr>
      <w:color w:val="0F243E" w:themeColor="text2" w:themeShade="80"/>
      <w:sz w:val="20"/>
      <w:szCs w:val="20"/>
      <w:lang w:eastAsia="tr-TR"/>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FFFFFF" w:themeFill="background1"/>
    </w:tc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tcBorders>
          <w:top w:val="single" w:sz="8" w:space="0" w:color="4F81BD" w:themeColor="accent1"/>
          <w:left w:val="nil"/>
          <w:bottom w:val="single" w:sz="8" w:space="0" w:color="4F81BD" w:themeColor="accent1"/>
          <w:right w:val="nil"/>
          <w:insideH w:val="nil"/>
          <w:insideV w:val="nil"/>
        </w:tcBorders>
        <w:shd w:val="clear" w:color="auto" w:fill="D3DFEE" w:themeFill="accent1" w:themeFillTint="3F"/>
      </w:tcPr>
    </w:tblStylePr>
    <w:tblStylePr w:type="band1Horz">
      <w:tblPr/>
      <w:tcPr>
        <w:tcBorders>
          <w:top w:val="single" w:sz="8" w:space="0" w:color="4F81BD" w:themeColor="accent1"/>
          <w:left w:val="nil"/>
          <w:bottom w:val="single" w:sz="8" w:space="0" w:color="4F81BD" w:themeColor="accent1"/>
          <w:right w:val="nil"/>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AkListe-Vurgu11">
    <w:name w:val="Açık Liste - Vurgu 11"/>
    <w:basedOn w:val="NormalTablo"/>
    <w:uiPriority w:val="61"/>
    <w:rsid w:val="002F2C4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oKlavuzu">
    <w:name w:val="Table Grid"/>
    <w:basedOn w:val="NormalTablo"/>
    <w:uiPriority w:val="59"/>
    <w:rsid w:val="00EB6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B15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15D8"/>
    <w:rPr>
      <w:rFonts w:ascii="Tahoma" w:hAnsi="Tahoma" w:cs="Tahoma"/>
      <w:sz w:val="16"/>
      <w:szCs w:val="16"/>
    </w:rPr>
  </w:style>
  <w:style w:type="paragraph" w:styleId="NormalWeb">
    <w:name w:val="Normal (Web)"/>
    <w:basedOn w:val="Normal"/>
    <w:uiPriority w:val="99"/>
    <w:semiHidden/>
    <w:unhideWhenUsed/>
    <w:rsid w:val="00E11C0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11C02"/>
  </w:style>
  <w:style w:type="character" w:styleId="Kpr">
    <w:name w:val="Hyperlink"/>
    <w:basedOn w:val="VarsaylanParagrafYazTipi"/>
    <w:uiPriority w:val="99"/>
    <w:semiHidden/>
    <w:unhideWhenUsed/>
    <w:rsid w:val="00E11C02"/>
    <w:rPr>
      <w:color w:val="0000FF"/>
      <w:u w:val="single"/>
    </w:rPr>
  </w:style>
  <w:style w:type="paragraph" w:styleId="ListeParagraf">
    <w:name w:val="List Paragraph"/>
    <w:basedOn w:val="Normal"/>
    <w:uiPriority w:val="34"/>
    <w:qFormat/>
    <w:rsid w:val="009211FA"/>
    <w:pPr>
      <w:ind w:left="720"/>
      <w:contextualSpacing/>
    </w:pPr>
  </w:style>
  <w:style w:type="character" w:styleId="Gl">
    <w:name w:val="Strong"/>
    <w:basedOn w:val="VarsaylanParagrafYazTipi"/>
    <w:uiPriority w:val="22"/>
    <w:qFormat/>
    <w:rsid w:val="004D5074"/>
    <w:rPr>
      <w:b/>
      <w:bCs/>
    </w:rPr>
  </w:style>
  <w:style w:type="table" w:styleId="AkListe-Vurgu5">
    <w:name w:val="Light List Accent 5"/>
    <w:basedOn w:val="NormalTablo"/>
    <w:uiPriority w:val="61"/>
    <w:rsid w:val="009F628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AkListe-Vurgu12">
    <w:name w:val="Açık Liste - Vurgu 12"/>
    <w:basedOn w:val="NormalTablo"/>
    <w:uiPriority w:val="61"/>
    <w:rsid w:val="009F628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OrtaGlgeleme1-Vurgu12">
    <w:name w:val="Orta Gölgeleme 1 - Vurgu 12"/>
    <w:basedOn w:val="NormalTablo"/>
    <w:uiPriority w:val="63"/>
    <w:rsid w:val="009F628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kListe-Vurgu3">
    <w:name w:val="Light List Accent 3"/>
    <w:basedOn w:val="NormalTablo"/>
    <w:uiPriority w:val="61"/>
    <w:rsid w:val="009F628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stbilgi">
    <w:name w:val="header"/>
    <w:basedOn w:val="Normal"/>
    <w:link w:val="stbilgiChar"/>
    <w:uiPriority w:val="99"/>
    <w:unhideWhenUsed/>
    <w:rsid w:val="009F62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6281"/>
  </w:style>
  <w:style w:type="paragraph" w:styleId="Altbilgi">
    <w:name w:val="footer"/>
    <w:basedOn w:val="Normal"/>
    <w:link w:val="AltbilgiChar"/>
    <w:uiPriority w:val="99"/>
    <w:unhideWhenUsed/>
    <w:rsid w:val="009F62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6281"/>
  </w:style>
  <w:style w:type="paragraph" w:styleId="AralkYok">
    <w:name w:val="No Spacing"/>
    <w:link w:val="AralkYokChar"/>
    <w:uiPriority w:val="1"/>
    <w:qFormat/>
    <w:rsid w:val="00C95B1F"/>
    <w:pPr>
      <w:spacing w:after="0" w:line="240" w:lineRule="auto"/>
    </w:pPr>
    <w:rPr>
      <w:rFonts w:eastAsiaTheme="minorEastAsia"/>
    </w:rPr>
  </w:style>
  <w:style w:type="character" w:customStyle="1" w:styleId="AralkYokChar">
    <w:name w:val="Aralık Yok Char"/>
    <w:basedOn w:val="VarsaylanParagrafYazTipi"/>
    <w:link w:val="AralkYok"/>
    <w:uiPriority w:val="1"/>
    <w:rsid w:val="00C95B1F"/>
    <w:rPr>
      <w:rFonts w:eastAsiaTheme="minorEastAsia"/>
    </w:rPr>
  </w:style>
  <w:style w:type="table" w:styleId="AkListe-Vurgu2">
    <w:name w:val="Light List Accent 2"/>
    <w:basedOn w:val="NormalTablo"/>
    <w:uiPriority w:val="61"/>
    <w:rsid w:val="00C2309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566791">
      <w:bodyDiv w:val="1"/>
      <w:marLeft w:val="0"/>
      <w:marRight w:val="0"/>
      <w:marTop w:val="0"/>
      <w:marBottom w:val="0"/>
      <w:divBdr>
        <w:top w:val="none" w:sz="0" w:space="0" w:color="auto"/>
        <w:left w:val="none" w:sz="0" w:space="0" w:color="auto"/>
        <w:bottom w:val="none" w:sz="0" w:space="0" w:color="auto"/>
        <w:right w:val="none" w:sz="0" w:space="0" w:color="auto"/>
      </w:divBdr>
    </w:div>
    <w:div w:id="116801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wikipedia.org/w/index.php?title=Sigorta_arac%C4%B1lar%C4%B1&amp;action=edit&amp;redlink=1" TargetMode="External"/><Relationship Id="rId18" Type="http://schemas.openxmlformats.org/officeDocument/2006/relationships/hyperlink" Target="https://tr.wikipedia.org/w/index.php?title=%C4%B0hbar&amp;action=edit&amp;redlink=1" TargetMode="External"/><Relationship Id="rId26" Type="http://schemas.openxmlformats.org/officeDocument/2006/relationships/hyperlink" Target="https://tr.wikipedia.org/w/index.php?title=Reas%C3%BCr%C3%B6r&amp;action=edit&amp;redlink=1"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tr.wikipedia.org/wiki/Akt%C3%BCer" TargetMode="External"/><Relationship Id="rId34" Type="http://schemas.openxmlformats.org/officeDocument/2006/relationships/hyperlink" Target="https://www.sigortam.net/"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r.wikipedia.org/wiki/Poli%C3%A7e" TargetMode="External"/><Relationship Id="rId17" Type="http://schemas.openxmlformats.org/officeDocument/2006/relationships/hyperlink" Target="https://tr.wikipedia.org/w/index.php?title=Hasar&amp;action=edit&amp;redlink=1" TargetMode="External"/><Relationship Id="rId25" Type="http://schemas.openxmlformats.org/officeDocument/2006/relationships/hyperlink" Target="https://tr.wikipedia.org/wiki/Reas%C3%BCrans" TargetMode="External"/><Relationship Id="rId33" Type="http://schemas.openxmlformats.org/officeDocument/2006/relationships/hyperlink" Target="https://tr.wikipedia.org/wiki/Zorunlu_Deprem_Sigortas%C4%B1" TargetMode="External"/><Relationship Id="rId38"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hyperlink" Target="https://tr.wikipedia.org/w/index.php?title=Komisyon&amp;action=edit&amp;redlink=1" TargetMode="External"/><Relationship Id="rId20" Type="http://schemas.openxmlformats.org/officeDocument/2006/relationships/hyperlink" Target="https://tr.wikipedia.org/wiki/Tazminat" TargetMode="External"/><Relationship Id="rId29" Type="http://schemas.openxmlformats.org/officeDocument/2006/relationships/hyperlink" Target="https://tr.wikipedia.org/w/index.php?title=Sigorta_Tahkim_Komisyonu&amp;action=edit&amp;redlink=1"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wikipedia.org/wiki/Acente" TargetMode="External"/><Relationship Id="rId24" Type="http://schemas.openxmlformats.org/officeDocument/2006/relationships/hyperlink" Target="https://tr.wikipedia.org/wiki/R%C3%BCcu" TargetMode="External"/><Relationship Id="rId32" Type="http://schemas.openxmlformats.org/officeDocument/2006/relationships/hyperlink" Target="https://tr.wikipedia.org/wiki/Trafik_Sigortas%C4%B1" TargetMode="External"/><Relationship Id="rId37" Type="http://schemas.openxmlformats.org/officeDocument/2006/relationships/chart" Target="charts/chart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r.wikipedia.org/w/index.php?title=Sigorta_brokeri&amp;action=edit&amp;redlink=1" TargetMode="External"/><Relationship Id="rId23" Type="http://schemas.openxmlformats.org/officeDocument/2006/relationships/hyperlink" Target="https://tr.wikipedia.org/w/index.php?title=Halefiyet&amp;action=edit&amp;redlink=1" TargetMode="External"/><Relationship Id="rId28" Type="http://schemas.openxmlformats.org/officeDocument/2006/relationships/hyperlink" Target="https://tr.wikipedia.org/wiki/11_Eyl%C3%BCl_Sald%C4%B1r%C4%B1lar%C4%B1" TargetMode="External"/><Relationship Id="rId36" Type="http://schemas.openxmlformats.org/officeDocument/2006/relationships/chart" Target="charts/chart2.xml"/><Relationship Id="rId10" Type="http://schemas.openxmlformats.org/officeDocument/2006/relationships/hyperlink" Target="https://tr.wikipedia.org/w/index.php?title=B%C3%BCy%C3%BCk_adetler_kanunu&amp;action=edit&amp;redlink=1" TargetMode="External"/><Relationship Id="rId19" Type="http://schemas.openxmlformats.org/officeDocument/2006/relationships/hyperlink" Target="https://tr.wikipedia.org/wiki/Eksper" TargetMode="External"/><Relationship Id="rId31" Type="http://schemas.openxmlformats.org/officeDocument/2006/relationships/hyperlink" Target="https://tr.wikipedia.org/wiki/Kask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r.wikipedia.org/wiki/Acente" TargetMode="External"/><Relationship Id="rId22" Type="http://schemas.openxmlformats.org/officeDocument/2006/relationships/hyperlink" Target="https://tr.wikipedia.org/wiki/Akt%C3%BCerya" TargetMode="External"/><Relationship Id="rId27" Type="http://schemas.openxmlformats.org/officeDocument/2006/relationships/hyperlink" Target="https://tr.wikipedia.org/wiki/Deprem" TargetMode="External"/><Relationship Id="rId30" Type="http://schemas.openxmlformats.org/officeDocument/2006/relationships/hyperlink" Target="https://tr.wikipedia.org/wiki/Hazine_M%C3%BCste%C5%9Farl%C4%B1%C4%9F%C4%B1" TargetMode="External"/><Relationship Id="rId35"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Satışlar</c:v>
                </c:pt>
              </c:strCache>
            </c:strRef>
          </c:tx>
          <c:dLbls>
            <c:spPr>
              <a:solidFill>
                <a:schemeClr val="bg1">
                  <a:lumMod val="85000"/>
                </a:schemeClr>
              </a:solidFill>
            </c:spPr>
            <c:showLegendKey val="0"/>
            <c:showVal val="0"/>
            <c:showCatName val="1"/>
            <c:showSerName val="0"/>
            <c:showPercent val="1"/>
            <c:showBubbleSize val="0"/>
            <c:showLeaderLines val="1"/>
            <c:extLst>
              <c:ext xmlns:c15="http://schemas.microsoft.com/office/drawing/2012/chart" uri="{CE6537A1-D6FC-4f65-9D91-7224C49458BB}"/>
            </c:extLst>
          </c:dLbls>
          <c:cat>
            <c:strRef>
              <c:f>Sayfa1!$A$2:$A$3</c:f>
              <c:strCache>
                <c:ptCount val="2"/>
                <c:pt idx="0">
                  <c:v>ŞAHIS</c:v>
                </c:pt>
                <c:pt idx="1">
                  <c:v>TÜZEL</c:v>
                </c:pt>
              </c:strCache>
            </c:strRef>
          </c:cat>
          <c:val>
            <c:numRef>
              <c:f>Sayfa1!$B$2:$B$3</c:f>
              <c:numCache>
                <c:formatCode>General</c:formatCode>
                <c:ptCount val="2"/>
                <c:pt idx="0">
                  <c:v>59</c:v>
                </c:pt>
                <c:pt idx="1">
                  <c:v>82</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a:t>İLÇELER</a:t>
            </a:r>
            <a:endParaRPr lang="en-US"/>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Satışlar</c:v>
                </c:pt>
              </c:strCache>
            </c:strRef>
          </c:tx>
          <c:dLbls>
            <c:dLbl>
              <c:idx val="0"/>
              <c:layout>
                <c:manualLayout>
                  <c:x val="7.4711468358122049E-2"/>
                  <c:y val="1.7647481564804401E-2"/>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3.2614647127442456E-2"/>
                  <c:y val="-0.3217857142857149"/>
                </c:manualLayout>
              </c:layout>
              <c:showLegendKey val="0"/>
              <c:showVal val="0"/>
              <c:showCatName val="1"/>
              <c:showSerName val="0"/>
              <c:showPercent val="1"/>
              <c:showBubbleSize val="0"/>
              <c:extLst>
                <c:ext xmlns:c15="http://schemas.microsoft.com/office/drawing/2012/chart" uri="{CE6537A1-D6FC-4f65-9D91-7224C49458BB}"/>
              </c:extLst>
            </c:dLbl>
            <c:spPr>
              <a:solidFill>
                <a:sysClr val="window" lastClr="FFFFFF">
                  <a:lumMod val="85000"/>
                </a:sysClr>
              </a:solidFill>
            </c:spPr>
            <c:showLegendKey val="0"/>
            <c:showVal val="0"/>
            <c:showCatName val="1"/>
            <c:showSerName val="0"/>
            <c:showPercent val="1"/>
            <c:showBubbleSize val="0"/>
            <c:showLeaderLines val="1"/>
            <c:extLst>
              <c:ext xmlns:c15="http://schemas.microsoft.com/office/drawing/2012/chart" uri="{CE6537A1-D6FC-4f65-9D91-7224C49458BB}"/>
            </c:extLst>
          </c:dLbls>
          <c:cat>
            <c:strRef>
              <c:f>Sayfa1!$A$2:$A$8</c:f>
              <c:strCache>
                <c:ptCount val="7"/>
                <c:pt idx="0">
                  <c:v>ERCİŞ</c:v>
                </c:pt>
                <c:pt idx="1">
                  <c:v>MERKEZ</c:v>
                </c:pt>
                <c:pt idx="2">
                  <c:v>ÖZALP</c:v>
                </c:pt>
                <c:pt idx="3">
                  <c:v>GÜRPINAR</c:v>
                </c:pt>
                <c:pt idx="4">
                  <c:v>ÇALDIRAN</c:v>
                </c:pt>
                <c:pt idx="5">
                  <c:v>GEVAŞ</c:v>
                </c:pt>
                <c:pt idx="6">
                  <c:v>MURADİYE</c:v>
                </c:pt>
              </c:strCache>
            </c:strRef>
          </c:cat>
          <c:val>
            <c:numRef>
              <c:f>Sayfa1!$B$2:$B$8</c:f>
              <c:numCache>
                <c:formatCode>General</c:formatCode>
                <c:ptCount val="7"/>
                <c:pt idx="0">
                  <c:v>16</c:v>
                </c:pt>
                <c:pt idx="1">
                  <c:v>81</c:v>
                </c:pt>
                <c:pt idx="2">
                  <c:v>3</c:v>
                </c:pt>
                <c:pt idx="3">
                  <c:v>1</c:v>
                </c:pt>
                <c:pt idx="4">
                  <c:v>2</c:v>
                </c:pt>
                <c:pt idx="5">
                  <c:v>1</c:v>
                </c:pt>
                <c:pt idx="6">
                  <c:v>2</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a:t>ÇALIŞAN</a:t>
            </a:r>
            <a:endParaRPr lang="en-US"/>
          </a:p>
        </c:rich>
      </c:tx>
      <c:overlay val="0"/>
    </c:title>
    <c:autoTitleDeleted val="0"/>
    <c:plotArea>
      <c:layout/>
      <c:barChart>
        <c:barDir val="col"/>
        <c:grouping val="clustered"/>
        <c:varyColors val="0"/>
        <c:ser>
          <c:idx val="0"/>
          <c:order val="0"/>
          <c:tx>
            <c:strRef>
              <c:f>Sayfa1!$B$1</c:f>
              <c:strCache>
                <c:ptCount val="1"/>
                <c:pt idx="0">
                  <c:v>Seri 1</c:v>
                </c:pt>
              </c:strCache>
            </c:strRef>
          </c:tx>
          <c:spPr>
            <a:solidFill>
              <a:srgbClr val="C00000"/>
            </a:solidFill>
          </c:spPr>
          <c:invertIfNegative val="0"/>
          <c:dLbls>
            <c:spPr>
              <a:solidFill>
                <a:schemeClr val="bg1">
                  <a:lumMod val="85000"/>
                </a:schemeClr>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Sayfa1!$A$2:$A$3</c:f>
              <c:strCache>
                <c:ptCount val="2"/>
                <c:pt idx="0">
                  <c:v>MÜDÜR</c:v>
                </c:pt>
                <c:pt idx="1">
                  <c:v>TEKNİK PERSONEL</c:v>
                </c:pt>
              </c:strCache>
            </c:strRef>
          </c:cat>
          <c:val>
            <c:numRef>
              <c:f>Sayfa1!$B$2:$B$3</c:f>
              <c:numCache>
                <c:formatCode>General</c:formatCode>
                <c:ptCount val="2"/>
                <c:pt idx="0">
                  <c:v>141</c:v>
                </c:pt>
                <c:pt idx="1">
                  <c:v>85</c:v>
                </c:pt>
              </c:numCache>
            </c:numRef>
          </c:val>
        </c:ser>
        <c:dLbls>
          <c:showLegendKey val="0"/>
          <c:showVal val="0"/>
          <c:showCatName val="0"/>
          <c:showSerName val="0"/>
          <c:showPercent val="0"/>
          <c:showBubbleSize val="0"/>
        </c:dLbls>
        <c:gapWidth val="150"/>
        <c:axId val="405980888"/>
        <c:axId val="405980496"/>
      </c:barChart>
      <c:catAx>
        <c:axId val="405980888"/>
        <c:scaling>
          <c:orientation val="minMax"/>
        </c:scaling>
        <c:delete val="0"/>
        <c:axPos val="b"/>
        <c:numFmt formatCode="General" sourceLinked="0"/>
        <c:majorTickMark val="out"/>
        <c:minorTickMark val="none"/>
        <c:tickLblPos val="nextTo"/>
        <c:crossAx val="405980496"/>
        <c:crosses val="autoZero"/>
        <c:auto val="1"/>
        <c:lblAlgn val="ctr"/>
        <c:lblOffset val="100"/>
        <c:noMultiLvlLbl val="0"/>
      </c:catAx>
      <c:valAx>
        <c:axId val="405980496"/>
        <c:scaling>
          <c:orientation val="minMax"/>
        </c:scaling>
        <c:delete val="0"/>
        <c:axPos val="l"/>
        <c:majorGridlines/>
        <c:numFmt formatCode="General" sourceLinked="1"/>
        <c:majorTickMark val="out"/>
        <c:minorTickMark val="none"/>
        <c:tickLblPos val="nextTo"/>
        <c:crossAx val="40598088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a:t>ÇEVRE İL KARŞILAŞTIRMASI </a:t>
            </a:r>
            <a:endParaRPr lang="en-US"/>
          </a:p>
        </c:rich>
      </c:tx>
      <c:overlay val="0"/>
    </c:title>
    <c:autoTitleDeleted val="0"/>
    <c:plotArea>
      <c:layout/>
      <c:barChart>
        <c:barDir val="col"/>
        <c:grouping val="clustered"/>
        <c:varyColors val="0"/>
        <c:ser>
          <c:idx val="0"/>
          <c:order val="0"/>
          <c:tx>
            <c:strRef>
              <c:f>Sayfa1!$B$1</c:f>
              <c:strCache>
                <c:ptCount val="1"/>
                <c:pt idx="0">
                  <c:v>Seri 1</c:v>
                </c:pt>
              </c:strCache>
            </c:strRef>
          </c:tx>
          <c:spPr>
            <a:solidFill>
              <a:srgbClr val="C00000"/>
            </a:solidFill>
          </c:spPr>
          <c:invertIfNegative val="0"/>
          <c:dLbls>
            <c:spPr>
              <a:solidFill>
                <a:schemeClr val="bg1">
                  <a:lumMod val="85000"/>
                </a:schemeClr>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Sayfa1!$A$2:$A$9</c:f>
              <c:strCache>
                <c:ptCount val="8"/>
                <c:pt idx="0">
                  <c:v>VAN</c:v>
                </c:pt>
                <c:pt idx="1">
                  <c:v>AĞRI</c:v>
                </c:pt>
                <c:pt idx="2">
                  <c:v>BİTLİS</c:v>
                </c:pt>
                <c:pt idx="3">
                  <c:v>DİYARBAKIR</c:v>
                </c:pt>
                <c:pt idx="4">
                  <c:v>ELAZIĞ</c:v>
                </c:pt>
                <c:pt idx="5">
                  <c:v>ERZURUM</c:v>
                </c:pt>
                <c:pt idx="6">
                  <c:v>HAKKARİ</c:v>
                </c:pt>
                <c:pt idx="7">
                  <c:v>MUŞ</c:v>
                </c:pt>
              </c:strCache>
            </c:strRef>
          </c:cat>
          <c:val>
            <c:numRef>
              <c:f>Sayfa1!$B$2:$B$9</c:f>
              <c:numCache>
                <c:formatCode>General</c:formatCode>
                <c:ptCount val="8"/>
                <c:pt idx="0">
                  <c:v>141</c:v>
                </c:pt>
                <c:pt idx="1">
                  <c:v>29</c:v>
                </c:pt>
                <c:pt idx="2">
                  <c:v>18</c:v>
                </c:pt>
                <c:pt idx="3">
                  <c:v>136</c:v>
                </c:pt>
                <c:pt idx="4">
                  <c:v>106</c:v>
                </c:pt>
                <c:pt idx="5">
                  <c:v>85</c:v>
                </c:pt>
                <c:pt idx="6">
                  <c:v>11</c:v>
                </c:pt>
                <c:pt idx="7">
                  <c:v>22</c:v>
                </c:pt>
              </c:numCache>
            </c:numRef>
          </c:val>
        </c:ser>
        <c:dLbls>
          <c:showLegendKey val="0"/>
          <c:showVal val="0"/>
          <c:showCatName val="0"/>
          <c:showSerName val="0"/>
          <c:showPercent val="0"/>
          <c:showBubbleSize val="0"/>
        </c:dLbls>
        <c:gapWidth val="150"/>
        <c:axId val="405977752"/>
        <c:axId val="405978144"/>
      </c:barChart>
      <c:catAx>
        <c:axId val="405977752"/>
        <c:scaling>
          <c:orientation val="minMax"/>
        </c:scaling>
        <c:delete val="0"/>
        <c:axPos val="b"/>
        <c:numFmt formatCode="General" sourceLinked="0"/>
        <c:majorTickMark val="out"/>
        <c:minorTickMark val="none"/>
        <c:tickLblPos val="nextTo"/>
        <c:crossAx val="405978144"/>
        <c:crosses val="autoZero"/>
        <c:auto val="1"/>
        <c:lblAlgn val="ctr"/>
        <c:lblOffset val="100"/>
        <c:noMultiLvlLbl val="0"/>
      </c:catAx>
      <c:valAx>
        <c:axId val="405978144"/>
        <c:scaling>
          <c:orientation val="minMax"/>
        </c:scaling>
        <c:delete val="0"/>
        <c:axPos val="l"/>
        <c:majorGridlines/>
        <c:numFmt formatCode="General" sourceLinked="1"/>
        <c:majorTickMark val="out"/>
        <c:minorTickMark val="none"/>
        <c:tickLblPos val="nextTo"/>
        <c:crossAx val="405977752"/>
        <c:crosses val="autoZero"/>
        <c:crossBetween val="between"/>
      </c:valAx>
    </c:plotArea>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8F1917B74D4B118860E3169F6E46A0"/>
        <w:category>
          <w:name w:val="Genel"/>
          <w:gallery w:val="placeholder"/>
        </w:category>
        <w:types>
          <w:type w:val="bbPlcHdr"/>
        </w:types>
        <w:behaviors>
          <w:behavior w:val="content"/>
        </w:behaviors>
        <w:guid w:val="{E30B236C-F1EC-40B2-AFEF-BA162CF0FFD3}"/>
      </w:docPartPr>
      <w:docPartBody>
        <w:p w:rsidR="008D3627" w:rsidRDefault="00CC76CB" w:rsidP="00CC76CB">
          <w:pPr>
            <w:pStyle w:val="648F1917B74D4B118860E3169F6E46A0"/>
          </w:pPr>
          <w:r>
            <w:rPr>
              <w:rFonts w:asciiTheme="majorHAnsi" w:eastAsiaTheme="majorEastAsia" w:hAnsiTheme="majorHAnsi" w:cstheme="majorBidi"/>
              <w:b/>
              <w:bCs/>
              <w:color w:val="FFFFFF" w:themeColor="background1"/>
              <w:sz w:val="72"/>
              <w:szCs w:val="72"/>
            </w:rPr>
            <w:t>[Yıl]</w:t>
          </w:r>
        </w:p>
      </w:docPartBody>
    </w:docPart>
    <w:docPart>
      <w:docPartPr>
        <w:name w:val="508AE9739A3A4580BD2252D0B7009E00"/>
        <w:category>
          <w:name w:val="Genel"/>
          <w:gallery w:val="placeholder"/>
        </w:category>
        <w:types>
          <w:type w:val="bbPlcHdr"/>
        </w:types>
        <w:behaviors>
          <w:behavior w:val="content"/>
        </w:behaviors>
        <w:guid w:val="{09F69732-0F7F-4272-9D3B-3B38F0389D64}"/>
      </w:docPartPr>
      <w:docPartBody>
        <w:p w:rsidR="008D3627" w:rsidRDefault="00CC76CB" w:rsidP="00CC76CB">
          <w:pPr>
            <w:pStyle w:val="508AE9739A3A4580BD2252D0B7009E00"/>
          </w:pPr>
          <w:r>
            <w:rPr>
              <w:b/>
              <w:bCs/>
              <w:caps/>
              <w:sz w:val="72"/>
              <w:szCs w:val="72"/>
            </w:rPr>
            <w:t>Belge başlığını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B24C6B"/>
    <w:rsid w:val="0033122F"/>
    <w:rsid w:val="003563E4"/>
    <w:rsid w:val="008D3627"/>
    <w:rsid w:val="00B24C6B"/>
    <w:rsid w:val="00CC76CB"/>
    <w:rsid w:val="00EC16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6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94CE829BD3CD46DFA056F2C672F6FB66">
    <w:name w:val="94CE829BD3CD46DFA056F2C672F6FB66"/>
    <w:rsid w:val="00B24C6B"/>
  </w:style>
  <w:style w:type="paragraph" w:customStyle="1" w:styleId="586712B9A7C245F387D80E181DB51B0A">
    <w:name w:val="586712B9A7C245F387D80E181DB51B0A"/>
    <w:rsid w:val="00CC76CB"/>
  </w:style>
  <w:style w:type="paragraph" w:customStyle="1" w:styleId="D978A17C7C3845EDB5F588A998E35FD1">
    <w:name w:val="D978A17C7C3845EDB5F588A998E35FD1"/>
    <w:rsid w:val="00CC76CB"/>
  </w:style>
  <w:style w:type="paragraph" w:customStyle="1" w:styleId="017E8010B3B747A88D0978247587D832">
    <w:name w:val="017E8010B3B747A88D0978247587D832"/>
    <w:rsid w:val="00CC76CB"/>
  </w:style>
  <w:style w:type="paragraph" w:customStyle="1" w:styleId="BA92048CC2D842BAAE982FFB35D4CF89">
    <w:name w:val="BA92048CC2D842BAAE982FFB35D4CF89"/>
    <w:rsid w:val="00CC76CB"/>
  </w:style>
  <w:style w:type="paragraph" w:customStyle="1" w:styleId="D77BDF2A406147E5B4BCCA3BB9E90E4E">
    <w:name w:val="D77BDF2A406147E5B4BCCA3BB9E90E4E"/>
    <w:rsid w:val="00CC76CB"/>
  </w:style>
  <w:style w:type="paragraph" w:customStyle="1" w:styleId="648F1917B74D4B118860E3169F6E46A0">
    <w:name w:val="648F1917B74D4B118860E3169F6E46A0"/>
    <w:rsid w:val="00CC76CB"/>
  </w:style>
  <w:style w:type="paragraph" w:customStyle="1" w:styleId="02F85BCD8C3840899C1653ECED5882E3">
    <w:name w:val="02F85BCD8C3840899C1653ECED5882E3"/>
    <w:rsid w:val="00CC76CB"/>
  </w:style>
  <w:style w:type="paragraph" w:customStyle="1" w:styleId="B7CD36DEA08A4347B7374AA8D112B134">
    <w:name w:val="B7CD36DEA08A4347B7374AA8D112B134"/>
    <w:rsid w:val="00CC76CB"/>
  </w:style>
  <w:style w:type="paragraph" w:customStyle="1" w:styleId="508AE9739A3A4580BD2252D0B7009E00">
    <w:name w:val="508AE9739A3A4580BD2252D0B7009E00"/>
    <w:rsid w:val="00CC76CB"/>
  </w:style>
  <w:style w:type="paragraph" w:customStyle="1" w:styleId="D06EC40230F841D898BBA44CDA575B27">
    <w:name w:val="D06EC40230F841D898BBA44CDA575B27"/>
    <w:rsid w:val="00CC76CB"/>
  </w:style>
  <w:style w:type="paragraph" w:customStyle="1" w:styleId="1E4B440507B648438208954F8EEA11FB">
    <w:name w:val="1E4B440507B648438208954F8EEA11FB"/>
    <w:rsid w:val="00CC76CB"/>
  </w:style>
  <w:style w:type="paragraph" w:customStyle="1" w:styleId="4894D93D652146949A550D0F2972CA3C">
    <w:name w:val="4894D93D652146949A550D0F2972CA3C"/>
    <w:rsid w:val="00CC76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1899</Words>
  <Characters>10827</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SİGORTA ACENTELİĞİ </vt:lpstr>
    </vt:vector>
  </TitlesOfParts>
  <Company/>
  <LinksUpToDate>false</LinksUpToDate>
  <CharactersWithSpaces>12701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SİGORTA ACENTELİĞİ</dc:title>
  <dc:subject/>
  <dc:creator>USER</dc:creator>
  <cp:keywords/>
  <dc:description/>
  <cp:lastModifiedBy>TechnoPC</cp:lastModifiedBy>
  <cp:revision>4</cp:revision>
  <dcterms:created xsi:type="dcterms:W3CDTF">2020-01-30T07:01:00Z</dcterms:created>
  <dcterms:modified xsi:type="dcterms:W3CDTF">2020-01-30T07:02:00Z</dcterms:modified>
</cp:coreProperties>
</file>